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EE0A" w14:textId="08EA26F7" w:rsidR="009F4056" w:rsidRPr="00607BA5" w:rsidRDefault="00044988" w:rsidP="00751D64">
      <w:pPr>
        <w:spacing w:after="0" w:line="240" w:lineRule="auto"/>
        <w:jc w:val="both"/>
        <w:rPr>
          <w:rFonts w:ascii="Arial" w:hAnsi="Arial" w:cs="Arial"/>
          <w:b/>
          <w:color w:val="000000" w:themeColor="text1"/>
          <w:sz w:val="20"/>
          <w:szCs w:val="20"/>
        </w:rPr>
      </w:pPr>
      <w:r w:rsidRPr="00607BA5">
        <w:drawing>
          <wp:anchor distT="0" distB="0" distL="114300" distR="114300" simplePos="0" relativeHeight="251659264" behindDoc="0" locked="0" layoutInCell="1" allowOverlap="1" wp14:anchorId="19E57A32" wp14:editId="66726057">
            <wp:simplePos x="0" y="0"/>
            <wp:positionH relativeFrom="column">
              <wp:posOffset>-82</wp:posOffset>
            </wp:positionH>
            <wp:positionV relativeFrom="paragraph">
              <wp:posOffset>-635</wp:posOffset>
            </wp:positionV>
            <wp:extent cx="1038860" cy="1309370"/>
            <wp:effectExtent l="0" t="0" r="8890" b="5080"/>
            <wp:wrapNone/>
            <wp:docPr id="2" name="Imagen 5" descr="Tea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Teams&#10;&#10;Description automatically generated with low confidence"/>
                    <pic:cNvPicPr/>
                  </pic:nvPicPr>
                  <pic:blipFill rotWithShape="1">
                    <a:blip r:embed="rId11">
                      <a:extLst>
                        <a:ext uri="{28A0092B-C50C-407E-A947-70E740481C1C}">
                          <a14:useLocalDpi xmlns:a14="http://schemas.microsoft.com/office/drawing/2010/main" val="0"/>
                        </a:ext>
                      </a:extLst>
                    </a:blip>
                    <a:srcRect l="4597"/>
                    <a:stretch/>
                  </pic:blipFill>
                  <pic:spPr bwMode="auto">
                    <a:xfrm>
                      <a:off x="0" y="0"/>
                      <a:ext cx="1038860" cy="1309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81B1F4" w14:textId="77777777" w:rsidR="009F4056" w:rsidRPr="00607BA5" w:rsidRDefault="009F4056" w:rsidP="00751D64">
      <w:pPr>
        <w:spacing w:after="0" w:line="240" w:lineRule="auto"/>
        <w:jc w:val="both"/>
        <w:rPr>
          <w:rFonts w:ascii="Arial" w:hAnsi="Arial" w:cs="Arial"/>
          <w:b/>
          <w:color w:val="000000" w:themeColor="text1"/>
          <w:sz w:val="20"/>
          <w:szCs w:val="20"/>
        </w:rPr>
      </w:pPr>
    </w:p>
    <w:p w14:paraId="2C949996" w14:textId="77777777" w:rsidR="009F4056" w:rsidRPr="00607BA5" w:rsidRDefault="009F4056" w:rsidP="00751D64">
      <w:pPr>
        <w:spacing w:after="0" w:line="240" w:lineRule="auto"/>
        <w:jc w:val="both"/>
        <w:rPr>
          <w:rFonts w:ascii="Arial" w:hAnsi="Arial" w:cs="Arial"/>
          <w:b/>
          <w:color w:val="000000" w:themeColor="text1"/>
          <w:sz w:val="20"/>
          <w:szCs w:val="20"/>
        </w:rPr>
      </w:pPr>
    </w:p>
    <w:p w14:paraId="5BD4CEF5" w14:textId="4CE6D580" w:rsidR="009F4056" w:rsidRPr="00607BA5" w:rsidRDefault="009F4056" w:rsidP="00751D64">
      <w:pPr>
        <w:spacing w:after="0" w:line="240" w:lineRule="auto"/>
        <w:jc w:val="both"/>
        <w:rPr>
          <w:rFonts w:ascii="Arial" w:hAnsi="Arial" w:cs="Arial"/>
          <w:b/>
          <w:color w:val="000000" w:themeColor="text1"/>
          <w:sz w:val="20"/>
          <w:szCs w:val="20"/>
        </w:rPr>
      </w:pPr>
    </w:p>
    <w:p w14:paraId="4E997EEB" w14:textId="56077CC5" w:rsidR="00044988" w:rsidRPr="00607BA5" w:rsidRDefault="00044988" w:rsidP="00751D64">
      <w:pPr>
        <w:spacing w:after="0" w:line="240" w:lineRule="auto"/>
        <w:jc w:val="both"/>
        <w:rPr>
          <w:rFonts w:ascii="Arial" w:hAnsi="Arial" w:cs="Arial"/>
          <w:b/>
          <w:color w:val="000000" w:themeColor="text1"/>
          <w:sz w:val="20"/>
          <w:szCs w:val="20"/>
        </w:rPr>
      </w:pPr>
    </w:p>
    <w:p w14:paraId="784A79DD" w14:textId="5C320D7E" w:rsidR="00044988" w:rsidRPr="00607BA5" w:rsidRDefault="00044988" w:rsidP="00751D64">
      <w:pPr>
        <w:spacing w:after="0" w:line="240" w:lineRule="auto"/>
        <w:jc w:val="both"/>
        <w:rPr>
          <w:rFonts w:ascii="Arial" w:hAnsi="Arial" w:cs="Arial"/>
          <w:b/>
          <w:color w:val="000000" w:themeColor="text1"/>
          <w:sz w:val="20"/>
          <w:szCs w:val="20"/>
        </w:rPr>
      </w:pPr>
    </w:p>
    <w:p w14:paraId="073C7E82" w14:textId="77777777" w:rsidR="00044988" w:rsidRPr="00607BA5" w:rsidRDefault="00044988" w:rsidP="00751D64">
      <w:pPr>
        <w:spacing w:after="0" w:line="240" w:lineRule="auto"/>
        <w:jc w:val="both"/>
        <w:rPr>
          <w:rFonts w:ascii="Arial" w:hAnsi="Arial" w:cs="Arial"/>
          <w:b/>
          <w:color w:val="000000" w:themeColor="text1"/>
          <w:sz w:val="20"/>
          <w:szCs w:val="20"/>
        </w:rPr>
      </w:pPr>
    </w:p>
    <w:p w14:paraId="0E146114" w14:textId="77777777" w:rsidR="009F4056" w:rsidRPr="00607BA5" w:rsidRDefault="009F4056" w:rsidP="00751D64">
      <w:pPr>
        <w:spacing w:after="0" w:line="240" w:lineRule="auto"/>
        <w:jc w:val="both"/>
        <w:rPr>
          <w:rFonts w:ascii="Arial" w:hAnsi="Arial" w:cs="Arial"/>
          <w:b/>
          <w:color w:val="000000" w:themeColor="text1"/>
          <w:sz w:val="20"/>
          <w:szCs w:val="20"/>
        </w:rPr>
      </w:pPr>
    </w:p>
    <w:p w14:paraId="53BBE7F4" w14:textId="058FC7F9" w:rsidR="00D316D1" w:rsidRPr="00607BA5" w:rsidRDefault="00D316D1" w:rsidP="00751D64">
      <w:pPr>
        <w:spacing w:after="0" w:line="240" w:lineRule="auto"/>
        <w:rPr>
          <w:rFonts w:ascii="Arial" w:hAnsi="Arial" w:cs="Arial"/>
          <w:b/>
          <w:color w:val="000000" w:themeColor="text1"/>
          <w:sz w:val="20"/>
          <w:szCs w:val="20"/>
        </w:rPr>
      </w:pPr>
    </w:p>
    <w:p w14:paraId="77F75560" w14:textId="77777777" w:rsidR="0074516F" w:rsidRPr="00607BA5" w:rsidRDefault="0074516F" w:rsidP="00751D64">
      <w:pPr>
        <w:spacing w:after="0" w:line="240" w:lineRule="auto"/>
        <w:rPr>
          <w:rFonts w:ascii="Arial" w:hAnsi="Arial" w:cs="Arial"/>
          <w:b/>
          <w:color w:val="000000" w:themeColor="text1"/>
          <w:sz w:val="20"/>
          <w:szCs w:val="20"/>
        </w:rPr>
      </w:pPr>
    </w:p>
    <w:p w14:paraId="4078A7C5" w14:textId="30980536" w:rsidR="003F295C" w:rsidRPr="00607BA5" w:rsidRDefault="00044988" w:rsidP="00751D64">
      <w:pPr>
        <w:spacing w:after="0" w:line="240" w:lineRule="auto"/>
        <w:jc w:val="both"/>
        <w:rPr>
          <w:rFonts w:ascii="Arial" w:hAnsi="Arial" w:cs="Arial"/>
          <w:b/>
          <w:bCs/>
          <w:color w:val="000000" w:themeColor="text1"/>
          <w:sz w:val="28"/>
          <w:szCs w:val="28"/>
        </w:rPr>
      </w:pPr>
      <w:r w:rsidRPr="00607BA5">
        <w:rPr>
          <w:rFonts w:ascii="Arial" w:hAnsi="Arial" w:cs="Arial"/>
          <w:b/>
          <w:bCs/>
          <w:color w:val="000000" w:themeColor="text1"/>
          <w:sz w:val="28"/>
          <w:szCs w:val="28"/>
        </w:rPr>
        <w:t>PERU COULD REACH 81% OF RENEWABLE POWER GENERATION BY 2030</w:t>
      </w:r>
    </w:p>
    <w:p w14:paraId="0557BD66" w14:textId="77777777" w:rsidR="00751D64" w:rsidRPr="00607BA5" w:rsidRDefault="00751D64" w:rsidP="00751D64">
      <w:pPr>
        <w:spacing w:after="0" w:line="240" w:lineRule="auto"/>
        <w:jc w:val="both"/>
        <w:rPr>
          <w:rFonts w:ascii="Arial" w:hAnsi="Arial" w:cs="Arial"/>
          <w:bCs/>
          <w:color w:val="000000" w:themeColor="text1"/>
          <w:sz w:val="20"/>
          <w:szCs w:val="20"/>
        </w:rPr>
      </w:pPr>
    </w:p>
    <w:p w14:paraId="14591EE1" w14:textId="10DFB863" w:rsidR="00044988" w:rsidRPr="00607BA5" w:rsidRDefault="00044988" w:rsidP="00044988">
      <w:pPr>
        <w:pStyle w:val="ListParagraph"/>
        <w:numPr>
          <w:ilvl w:val="0"/>
          <w:numId w:val="12"/>
        </w:numPr>
        <w:spacing w:after="0" w:line="240" w:lineRule="auto"/>
        <w:jc w:val="both"/>
        <w:rPr>
          <w:rFonts w:ascii="Arial" w:hAnsi="Arial" w:cs="Arial"/>
          <w:bCs/>
          <w:i/>
          <w:iCs/>
          <w:color w:val="000000" w:themeColor="text1"/>
          <w:sz w:val="20"/>
          <w:szCs w:val="20"/>
        </w:rPr>
      </w:pPr>
      <w:r w:rsidRPr="00607BA5">
        <w:rPr>
          <w:rFonts w:ascii="Arial" w:hAnsi="Arial" w:cs="Arial"/>
          <w:bCs/>
          <w:i/>
          <w:iCs/>
          <w:color w:val="000000" w:themeColor="text1"/>
          <w:sz w:val="20"/>
          <w:szCs w:val="20"/>
        </w:rPr>
        <w:t>This figure comes from the</w:t>
      </w:r>
      <w:r w:rsidRPr="00607BA5">
        <w:rPr>
          <w:rFonts w:ascii="Arial" w:hAnsi="Arial" w:cs="Arial"/>
          <w:bCs/>
          <w:i/>
          <w:iCs/>
          <w:color w:val="000000" w:themeColor="text1"/>
          <w:sz w:val="20"/>
          <w:szCs w:val="20"/>
        </w:rPr>
        <w:t xml:space="preserve"> latest</w:t>
      </w:r>
      <w:r w:rsidRPr="00607BA5">
        <w:rPr>
          <w:rFonts w:ascii="Arial" w:hAnsi="Arial" w:cs="Arial"/>
          <w:bCs/>
          <w:i/>
          <w:iCs/>
          <w:color w:val="000000" w:themeColor="text1"/>
          <w:sz w:val="20"/>
          <w:szCs w:val="20"/>
        </w:rPr>
        <w:t xml:space="preserve"> updat</w:t>
      </w:r>
      <w:r w:rsidRPr="00607BA5">
        <w:rPr>
          <w:rFonts w:ascii="Arial" w:hAnsi="Arial" w:cs="Arial"/>
          <w:bCs/>
          <w:i/>
          <w:iCs/>
          <w:color w:val="000000" w:themeColor="text1"/>
          <w:sz w:val="20"/>
          <w:szCs w:val="20"/>
        </w:rPr>
        <w:t>e of the</w:t>
      </w:r>
      <w:r w:rsidRPr="00607BA5">
        <w:rPr>
          <w:rFonts w:ascii="Arial" w:hAnsi="Arial" w:cs="Arial"/>
          <w:bCs/>
          <w:i/>
          <w:iCs/>
          <w:color w:val="000000" w:themeColor="text1"/>
          <w:sz w:val="20"/>
          <w:szCs w:val="20"/>
        </w:rPr>
        <w:t xml:space="preserve"> study "Energy Transition Roadmap towards a Peru without emissions 2030-2050", carried out by Deloitte and promoted by Enel Perú, which proposes actions to achieve the reduction of emissions by 2050.</w:t>
      </w:r>
    </w:p>
    <w:p w14:paraId="3A02490C" w14:textId="77777777" w:rsidR="00044988" w:rsidRPr="00607BA5" w:rsidRDefault="00044988" w:rsidP="00044988">
      <w:pPr>
        <w:pStyle w:val="ListParagraph"/>
        <w:numPr>
          <w:ilvl w:val="0"/>
          <w:numId w:val="12"/>
        </w:numPr>
        <w:spacing w:after="0" w:line="240" w:lineRule="auto"/>
        <w:jc w:val="both"/>
        <w:rPr>
          <w:rFonts w:ascii="Arial" w:hAnsi="Arial" w:cs="Arial"/>
          <w:bCs/>
          <w:i/>
          <w:iCs/>
          <w:color w:val="000000" w:themeColor="text1"/>
          <w:sz w:val="20"/>
          <w:szCs w:val="20"/>
        </w:rPr>
      </w:pPr>
      <w:r w:rsidRPr="00607BA5">
        <w:rPr>
          <w:rFonts w:ascii="Arial" w:hAnsi="Arial" w:cs="Arial"/>
          <w:bCs/>
          <w:i/>
          <w:iCs/>
          <w:color w:val="000000" w:themeColor="text1"/>
          <w:sz w:val="20"/>
          <w:szCs w:val="20"/>
        </w:rPr>
        <w:t>More than 470 participants from 130 organizations attended the preparation of the study.</w:t>
      </w:r>
    </w:p>
    <w:p w14:paraId="70C333F4" w14:textId="04B92AC1" w:rsidR="007E5E70" w:rsidRPr="00607BA5" w:rsidRDefault="00044988" w:rsidP="00044988">
      <w:pPr>
        <w:pStyle w:val="ListParagraph"/>
        <w:numPr>
          <w:ilvl w:val="0"/>
          <w:numId w:val="12"/>
        </w:numPr>
        <w:spacing w:after="0" w:line="240" w:lineRule="auto"/>
        <w:jc w:val="both"/>
        <w:rPr>
          <w:rFonts w:ascii="Arial" w:hAnsi="Arial" w:cs="Arial"/>
          <w:bCs/>
          <w:i/>
          <w:iCs/>
          <w:color w:val="000000" w:themeColor="text1"/>
          <w:sz w:val="20"/>
          <w:szCs w:val="20"/>
        </w:rPr>
      </w:pPr>
      <w:r w:rsidRPr="00607BA5">
        <w:rPr>
          <w:rFonts w:ascii="Arial" w:hAnsi="Arial" w:cs="Arial"/>
          <w:bCs/>
          <w:i/>
          <w:iCs/>
          <w:color w:val="000000" w:themeColor="text1"/>
          <w:sz w:val="20"/>
          <w:szCs w:val="20"/>
        </w:rPr>
        <w:t>Among the results, it is stated that the decarbonization process in the country would generate an accumulated net benefit of more than 128.3 billion dollars.</w:t>
      </w:r>
    </w:p>
    <w:p w14:paraId="07F0C7B0" w14:textId="77777777" w:rsidR="00751D64" w:rsidRPr="00607BA5" w:rsidRDefault="00751D64" w:rsidP="00751D64">
      <w:pPr>
        <w:spacing w:after="0" w:line="240" w:lineRule="auto"/>
        <w:jc w:val="both"/>
        <w:rPr>
          <w:rFonts w:ascii="Arial" w:hAnsi="Arial" w:cs="Arial"/>
          <w:color w:val="000000" w:themeColor="text1"/>
          <w:sz w:val="20"/>
          <w:szCs w:val="20"/>
        </w:rPr>
      </w:pPr>
    </w:p>
    <w:p w14:paraId="0E0D80B3" w14:textId="77777777" w:rsidR="00513324" w:rsidRPr="00607BA5" w:rsidRDefault="00C60C03" w:rsidP="00513324">
      <w:pPr>
        <w:spacing w:after="0" w:line="240" w:lineRule="auto"/>
        <w:jc w:val="both"/>
        <w:rPr>
          <w:rFonts w:ascii="Arial" w:hAnsi="Arial" w:cs="Arial"/>
          <w:color w:val="000000" w:themeColor="text1"/>
          <w:sz w:val="20"/>
          <w:szCs w:val="20"/>
        </w:rPr>
      </w:pPr>
      <w:r w:rsidRPr="00607BA5">
        <w:rPr>
          <w:rFonts w:ascii="Arial" w:hAnsi="Arial" w:cs="Arial"/>
          <w:b/>
          <w:bCs/>
          <w:color w:val="000000" w:themeColor="text1"/>
          <w:sz w:val="20"/>
          <w:szCs w:val="20"/>
        </w:rPr>
        <w:t xml:space="preserve">Lima, </w:t>
      </w:r>
      <w:r w:rsidR="00044988" w:rsidRPr="00607BA5">
        <w:rPr>
          <w:rFonts w:ascii="Arial" w:hAnsi="Arial" w:cs="Arial"/>
          <w:b/>
          <w:bCs/>
          <w:color w:val="000000" w:themeColor="text1"/>
          <w:sz w:val="20"/>
          <w:szCs w:val="20"/>
        </w:rPr>
        <w:t>September 13</w:t>
      </w:r>
      <w:r w:rsidR="00044988" w:rsidRPr="00607BA5">
        <w:rPr>
          <w:rFonts w:ascii="Arial" w:hAnsi="Arial" w:cs="Arial"/>
          <w:b/>
          <w:bCs/>
          <w:color w:val="000000" w:themeColor="text1"/>
          <w:sz w:val="20"/>
          <w:szCs w:val="20"/>
          <w:vertAlign w:val="superscript"/>
        </w:rPr>
        <w:t>th</w:t>
      </w:r>
      <w:r w:rsidR="00044988" w:rsidRPr="00607BA5">
        <w:rPr>
          <w:rFonts w:ascii="Arial" w:hAnsi="Arial" w:cs="Arial"/>
          <w:b/>
          <w:bCs/>
          <w:color w:val="000000" w:themeColor="text1"/>
          <w:sz w:val="20"/>
          <w:szCs w:val="20"/>
        </w:rPr>
        <w:t>,</w:t>
      </w:r>
      <w:r w:rsidRPr="00607BA5">
        <w:rPr>
          <w:rFonts w:ascii="Arial" w:hAnsi="Arial" w:cs="Arial"/>
          <w:b/>
          <w:bCs/>
          <w:color w:val="000000" w:themeColor="text1"/>
          <w:sz w:val="20"/>
          <w:szCs w:val="20"/>
        </w:rPr>
        <w:t xml:space="preserve"> 2022.-</w:t>
      </w:r>
      <w:r w:rsidRPr="00607BA5">
        <w:rPr>
          <w:rFonts w:ascii="Arial" w:hAnsi="Arial" w:cs="Arial"/>
          <w:color w:val="000000" w:themeColor="text1"/>
          <w:sz w:val="20"/>
          <w:szCs w:val="20"/>
        </w:rPr>
        <w:t xml:space="preserve"> </w:t>
      </w:r>
      <w:r w:rsidR="00513324" w:rsidRPr="00607BA5">
        <w:rPr>
          <w:rFonts w:ascii="Arial" w:hAnsi="Arial" w:cs="Arial"/>
          <w:color w:val="000000" w:themeColor="text1"/>
          <w:sz w:val="20"/>
          <w:szCs w:val="20"/>
        </w:rPr>
        <w:t xml:space="preserve">The study "Energy Transition Roadmap towards a Peru without emissions 2030-2050", prepared by Deloitte and promoted by Enel Perú, suggests that the country could reach a scenario where </w:t>
      </w:r>
      <w:r w:rsidR="00513324" w:rsidRPr="00607BA5">
        <w:rPr>
          <w:rFonts w:ascii="Arial" w:hAnsi="Arial" w:cs="Arial"/>
          <w:b/>
          <w:bCs/>
          <w:color w:val="000000" w:themeColor="text1"/>
          <w:sz w:val="20"/>
          <w:szCs w:val="20"/>
        </w:rPr>
        <w:t>renewable generation represents 81% of the matrix, of which 35% would correspond to the participation of renewable wind and solar plants</w:t>
      </w:r>
      <w:r w:rsidR="00513324" w:rsidRPr="00607BA5">
        <w:rPr>
          <w:rFonts w:ascii="Arial" w:hAnsi="Arial" w:cs="Arial"/>
          <w:color w:val="000000" w:themeColor="text1"/>
          <w:sz w:val="20"/>
          <w:szCs w:val="20"/>
        </w:rPr>
        <w:t>. This change in the matrix would convey investments of over 10 billion dollars by 2050.</w:t>
      </w:r>
    </w:p>
    <w:p w14:paraId="370F13C4" w14:textId="77777777" w:rsidR="00513324" w:rsidRPr="00607BA5" w:rsidRDefault="00513324" w:rsidP="00513324">
      <w:pPr>
        <w:spacing w:after="0" w:line="240" w:lineRule="auto"/>
        <w:jc w:val="both"/>
        <w:rPr>
          <w:rFonts w:ascii="Arial" w:hAnsi="Arial" w:cs="Arial"/>
          <w:color w:val="000000" w:themeColor="text1"/>
          <w:sz w:val="20"/>
          <w:szCs w:val="20"/>
        </w:rPr>
      </w:pPr>
    </w:p>
    <w:p w14:paraId="77EDD02C" w14:textId="56A39802" w:rsidR="00015169" w:rsidRPr="00607BA5" w:rsidRDefault="00513324" w:rsidP="00513324">
      <w:pPr>
        <w:spacing w:after="0" w:line="240" w:lineRule="auto"/>
        <w:jc w:val="both"/>
        <w:rPr>
          <w:rFonts w:ascii="Arial" w:hAnsi="Arial" w:cs="Arial"/>
          <w:color w:val="000000" w:themeColor="text1"/>
          <w:sz w:val="20"/>
          <w:szCs w:val="20"/>
        </w:rPr>
      </w:pPr>
      <w:r w:rsidRPr="00607BA5">
        <w:rPr>
          <w:rFonts w:ascii="Arial" w:hAnsi="Arial" w:cs="Arial"/>
          <w:color w:val="000000" w:themeColor="text1"/>
          <w:sz w:val="20"/>
          <w:szCs w:val="20"/>
        </w:rPr>
        <w:t xml:space="preserve">The study was updated after two workshops that included three </w:t>
      </w:r>
      <w:r w:rsidRPr="00607BA5">
        <w:rPr>
          <w:rFonts w:ascii="Arial" w:hAnsi="Arial" w:cs="Arial"/>
          <w:color w:val="000000" w:themeColor="text1"/>
          <w:sz w:val="20"/>
          <w:szCs w:val="20"/>
        </w:rPr>
        <w:t>worktables</w:t>
      </w:r>
      <w:r w:rsidRPr="00607BA5">
        <w:rPr>
          <w:rFonts w:ascii="Arial" w:hAnsi="Arial" w:cs="Arial"/>
          <w:color w:val="000000" w:themeColor="text1"/>
          <w:sz w:val="20"/>
          <w:szCs w:val="20"/>
        </w:rPr>
        <w:t xml:space="preserve"> attended by more than 470 participants from 130 organizations from the sectors: government, hydrocarbons, electricity, mining, mass consumption, industrial, transport, services, NGOs, associations, and universities. The shared objective was to provide technical knowledge and points of view to accelerate effective actions at the national level for the acceleration of the energy transition.</w:t>
      </w:r>
    </w:p>
    <w:p w14:paraId="0CA23E4A" w14:textId="77777777" w:rsidR="00CB5B25" w:rsidRPr="00607BA5" w:rsidRDefault="00CB5B25" w:rsidP="00751D64">
      <w:pPr>
        <w:spacing w:after="0" w:line="240" w:lineRule="auto"/>
        <w:jc w:val="both"/>
        <w:rPr>
          <w:rFonts w:ascii="Arial" w:hAnsi="Arial" w:cs="Arial"/>
          <w:bCs/>
          <w:i/>
          <w:iCs/>
          <w:color w:val="000000" w:themeColor="text1"/>
          <w:sz w:val="20"/>
          <w:szCs w:val="20"/>
        </w:rPr>
      </w:pPr>
    </w:p>
    <w:p w14:paraId="0F62421D" w14:textId="0DCBFF79" w:rsidR="00B7594E" w:rsidRPr="00607BA5" w:rsidRDefault="00513324" w:rsidP="00751D64">
      <w:pPr>
        <w:autoSpaceDE w:val="0"/>
        <w:autoSpaceDN w:val="0"/>
        <w:spacing w:after="0" w:line="240" w:lineRule="auto"/>
        <w:jc w:val="both"/>
        <w:rPr>
          <w:rFonts w:ascii="Arial" w:hAnsi="Arial" w:cs="Arial"/>
          <w:b/>
          <w:bCs/>
          <w:i/>
          <w:iCs/>
          <w:color w:val="000000" w:themeColor="text1"/>
          <w:sz w:val="20"/>
          <w:szCs w:val="20"/>
        </w:rPr>
      </w:pPr>
      <w:r w:rsidRPr="00607BA5">
        <w:rPr>
          <w:rFonts w:ascii="Arial" w:hAnsi="Arial" w:cs="Arial"/>
          <w:b/>
          <w:bCs/>
          <w:i/>
          <w:iCs/>
          <w:color w:val="000000" w:themeColor="text1"/>
          <w:sz w:val="20"/>
          <w:szCs w:val="20"/>
        </w:rPr>
        <w:t xml:space="preserve">Find the </w:t>
      </w:r>
      <w:r w:rsidRPr="00607BA5">
        <w:rPr>
          <w:rFonts w:ascii="Arial" w:hAnsi="Arial" w:cs="Arial"/>
          <w:b/>
          <w:bCs/>
          <w:i/>
          <w:iCs/>
          <w:color w:val="000000" w:themeColor="text1"/>
          <w:sz w:val="20"/>
          <w:szCs w:val="20"/>
        </w:rPr>
        <w:t xml:space="preserve">updated </w:t>
      </w:r>
      <w:r w:rsidRPr="00607BA5">
        <w:rPr>
          <w:rFonts w:ascii="Arial" w:hAnsi="Arial" w:cs="Arial"/>
          <w:b/>
          <w:bCs/>
          <w:i/>
          <w:iCs/>
          <w:color w:val="000000" w:themeColor="text1"/>
          <w:sz w:val="20"/>
          <w:szCs w:val="20"/>
        </w:rPr>
        <w:t>study here</w:t>
      </w:r>
      <w:r w:rsidR="00B7594E" w:rsidRPr="00607BA5">
        <w:rPr>
          <w:rFonts w:ascii="Arial" w:hAnsi="Arial" w:cs="Arial"/>
          <w:b/>
          <w:bCs/>
          <w:i/>
          <w:iCs/>
          <w:color w:val="000000" w:themeColor="text1"/>
          <w:sz w:val="20"/>
          <w:szCs w:val="20"/>
        </w:rPr>
        <w:t xml:space="preserve">: </w:t>
      </w:r>
      <w:hyperlink r:id="rId12" w:history="1">
        <w:r w:rsidR="00B7594E" w:rsidRPr="00607BA5">
          <w:rPr>
            <w:rStyle w:val="Hyperlink"/>
            <w:rFonts w:ascii="Arial" w:hAnsi="Arial" w:cs="Arial"/>
            <w:b/>
            <w:bCs/>
            <w:i/>
            <w:iCs/>
            <w:sz w:val="20"/>
            <w:szCs w:val="20"/>
            <w:u w:val="none"/>
          </w:rPr>
          <w:t>https://bit.ly/3RZ7Bxi</w:t>
        </w:r>
      </w:hyperlink>
    </w:p>
    <w:p w14:paraId="09B1CF97" w14:textId="77777777" w:rsidR="00751D64" w:rsidRPr="00607BA5" w:rsidRDefault="00751D64" w:rsidP="00751D64">
      <w:pPr>
        <w:pStyle w:val="HTMLPreformatted"/>
        <w:jc w:val="both"/>
        <w:rPr>
          <w:rFonts w:ascii="Arial" w:eastAsiaTheme="minorHAnsi" w:hAnsi="Arial" w:cs="Arial"/>
          <w:color w:val="000000" w:themeColor="text1"/>
          <w:lang w:val="en-US" w:eastAsia="en-US"/>
        </w:rPr>
      </w:pPr>
    </w:p>
    <w:p w14:paraId="7ACF9C64" w14:textId="77777777" w:rsidR="00513324" w:rsidRPr="00607BA5" w:rsidRDefault="00513324" w:rsidP="00513324">
      <w:pPr>
        <w:pStyle w:val="HTMLPreformatted"/>
        <w:jc w:val="both"/>
        <w:rPr>
          <w:rFonts w:ascii="Arial" w:eastAsiaTheme="minorHAnsi" w:hAnsi="Arial" w:cs="Arial"/>
          <w:color w:val="000000" w:themeColor="text1"/>
          <w:lang w:val="en-US" w:eastAsia="en-US"/>
        </w:rPr>
      </w:pPr>
      <w:r w:rsidRPr="00607BA5">
        <w:rPr>
          <w:rFonts w:ascii="Arial" w:eastAsiaTheme="minorHAnsi" w:hAnsi="Arial" w:cs="Arial"/>
          <w:color w:val="000000" w:themeColor="text1"/>
          <w:lang w:val="en-US" w:eastAsia="en-US"/>
        </w:rPr>
        <w:t xml:space="preserve">The study shows that, if the proposed activities are fulfilled, the country could achieve a </w:t>
      </w:r>
      <w:r w:rsidRPr="00607BA5">
        <w:rPr>
          <w:rFonts w:ascii="Arial" w:eastAsiaTheme="minorHAnsi" w:hAnsi="Arial" w:cs="Arial"/>
          <w:b/>
          <w:bCs/>
          <w:color w:val="000000" w:themeColor="text1"/>
          <w:lang w:val="en-US" w:eastAsia="en-US"/>
        </w:rPr>
        <w:t>51% reduction in emissions by 2030</w:t>
      </w:r>
      <w:r w:rsidRPr="00607BA5">
        <w:rPr>
          <w:rFonts w:ascii="Arial" w:eastAsiaTheme="minorHAnsi" w:hAnsi="Arial" w:cs="Arial"/>
          <w:color w:val="000000" w:themeColor="text1"/>
          <w:lang w:val="en-US" w:eastAsia="en-US"/>
        </w:rPr>
        <w:t xml:space="preserve">. Compared to its predecessor, published in 2021, this update proposes that the decarbonization process in the country would create a larger number of jobs and greater economic benefit, generating </w:t>
      </w:r>
      <w:r w:rsidRPr="00607BA5">
        <w:rPr>
          <w:rFonts w:ascii="Arial" w:eastAsiaTheme="minorHAnsi" w:hAnsi="Arial" w:cs="Arial"/>
          <w:b/>
          <w:bCs/>
          <w:color w:val="000000" w:themeColor="text1"/>
          <w:lang w:val="en-US" w:eastAsia="en-US"/>
        </w:rPr>
        <w:t>over 933,000 jobs in the country by 2030 and an accumulated net benefit of 128.3 billion dollars by 2050</w:t>
      </w:r>
      <w:r w:rsidRPr="00607BA5">
        <w:rPr>
          <w:rFonts w:ascii="Arial" w:eastAsiaTheme="minorHAnsi" w:hAnsi="Arial" w:cs="Arial"/>
          <w:color w:val="000000" w:themeColor="text1"/>
          <w:lang w:val="en-US" w:eastAsia="en-US"/>
        </w:rPr>
        <w:t>.</w:t>
      </w:r>
    </w:p>
    <w:p w14:paraId="09AF9221" w14:textId="77777777" w:rsidR="00513324" w:rsidRPr="00607BA5" w:rsidRDefault="00513324" w:rsidP="00513324">
      <w:pPr>
        <w:pStyle w:val="HTMLPreformatted"/>
        <w:jc w:val="both"/>
        <w:rPr>
          <w:rFonts w:ascii="Arial" w:eastAsiaTheme="minorHAnsi" w:hAnsi="Arial" w:cs="Arial"/>
          <w:color w:val="000000" w:themeColor="text1"/>
          <w:lang w:val="en-US" w:eastAsia="en-US"/>
        </w:rPr>
      </w:pPr>
    </w:p>
    <w:p w14:paraId="0B6F7E34" w14:textId="148D311D" w:rsidR="00513324" w:rsidRPr="00607BA5" w:rsidRDefault="00513324" w:rsidP="00513324">
      <w:pPr>
        <w:pStyle w:val="HTMLPreformatted"/>
        <w:jc w:val="both"/>
        <w:rPr>
          <w:rFonts w:ascii="Arial" w:eastAsiaTheme="minorHAnsi" w:hAnsi="Arial" w:cs="Arial"/>
          <w:color w:val="000000" w:themeColor="text1"/>
          <w:lang w:val="en-US" w:eastAsia="en-US"/>
        </w:rPr>
      </w:pPr>
      <w:r w:rsidRPr="00607BA5">
        <w:rPr>
          <w:rFonts w:ascii="Arial" w:eastAsiaTheme="minorHAnsi" w:hAnsi="Arial" w:cs="Arial"/>
          <w:color w:val="000000" w:themeColor="text1"/>
          <w:lang w:val="en-US" w:eastAsia="en-US"/>
        </w:rPr>
        <w:t xml:space="preserve">The updated study proposes that work </w:t>
      </w:r>
      <w:r w:rsidR="00607BA5">
        <w:rPr>
          <w:rFonts w:ascii="Arial" w:eastAsiaTheme="minorHAnsi" w:hAnsi="Arial" w:cs="Arial"/>
          <w:color w:val="000000" w:themeColor="text1"/>
          <w:lang w:val="en-US" w:eastAsia="en-US"/>
        </w:rPr>
        <w:t>on the following three axes must</w:t>
      </w:r>
      <w:r w:rsidRPr="00607BA5">
        <w:rPr>
          <w:rFonts w:ascii="Arial" w:eastAsiaTheme="minorHAnsi" w:hAnsi="Arial" w:cs="Arial"/>
          <w:color w:val="000000" w:themeColor="text1"/>
          <w:lang w:val="en-US" w:eastAsia="en-US"/>
        </w:rPr>
        <w:t xml:space="preserve"> continue </w:t>
      </w:r>
      <w:r w:rsidR="00607BA5">
        <w:rPr>
          <w:rFonts w:ascii="Arial" w:eastAsiaTheme="minorHAnsi" w:hAnsi="Arial" w:cs="Arial"/>
          <w:color w:val="000000" w:themeColor="text1"/>
          <w:lang w:val="en-US" w:eastAsia="en-US"/>
        </w:rPr>
        <w:t xml:space="preserve">to achieve the goal in </w:t>
      </w:r>
      <w:r w:rsidRPr="00607BA5">
        <w:rPr>
          <w:rFonts w:ascii="Arial" w:eastAsiaTheme="minorHAnsi" w:hAnsi="Arial" w:cs="Arial"/>
          <w:color w:val="000000" w:themeColor="text1"/>
          <w:lang w:val="en-US" w:eastAsia="en-US"/>
        </w:rPr>
        <w:t>reduc</w:t>
      </w:r>
      <w:r w:rsidR="00607BA5">
        <w:rPr>
          <w:rFonts w:ascii="Arial" w:eastAsiaTheme="minorHAnsi" w:hAnsi="Arial" w:cs="Arial"/>
          <w:color w:val="000000" w:themeColor="text1"/>
          <w:lang w:val="en-US" w:eastAsia="en-US"/>
        </w:rPr>
        <w:t>ing</w:t>
      </w:r>
      <w:r w:rsidRPr="00607BA5">
        <w:rPr>
          <w:rFonts w:ascii="Arial" w:eastAsiaTheme="minorHAnsi" w:hAnsi="Arial" w:cs="Arial"/>
          <w:color w:val="000000" w:themeColor="text1"/>
          <w:lang w:val="en-US" w:eastAsia="en-US"/>
        </w:rPr>
        <w:t xml:space="preserve"> emissions: i) </w:t>
      </w:r>
      <w:r w:rsidRPr="00607BA5">
        <w:rPr>
          <w:rFonts w:ascii="Arial" w:eastAsiaTheme="minorHAnsi" w:hAnsi="Arial" w:cs="Arial"/>
          <w:b/>
          <w:bCs/>
          <w:color w:val="000000" w:themeColor="text1"/>
          <w:lang w:val="en-US" w:eastAsia="en-US"/>
        </w:rPr>
        <w:t>energy efficiency and the electrification of end uses</w:t>
      </w:r>
      <w:r w:rsidRPr="00607BA5">
        <w:rPr>
          <w:rFonts w:ascii="Arial" w:eastAsiaTheme="minorHAnsi" w:hAnsi="Arial" w:cs="Arial"/>
          <w:color w:val="000000" w:themeColor="text1"/>
          <w:lang w:val="en-US" w:eastAsia="en-US"/>
        </w:rPr>
        <w:t xml:space="preserve">; ii) </w:t>
      </w:r>
      <w:r w:rsidRPr="00607BA5">
        <w:rPr>
          <w:rFonts w:ascii="Arial" w:eastAsiaTheme="minorHAnsi" w:hAnsi="Arial" w:cs="Arial"/>
          <w:b/>
          <w:bCs/>
          <w:color w:val="000000" w:themeColor="text1"/>
          <w:lang w:val="en-US" w:eastAsia="en-US"/>
        </w:rPr>
        <w:t>the transformation of an energy matrix based on renewable resources, accompanied by an infrastructure suitable for more renewable sources</w:t>
      </w:r>
      <w:r w:rsidRPr="00607BA5">
        <w:rPr>
          <w:rFonts w:ascii="Arial" w:eastAsiaTheme="minorHAnsi" w:hAnsi="Arial" w:cs="Arial"/>
          <w:color w:val="000000" w:themeColor="text1"/>
          <w:lang w:val="en-US" w:eastAsia="en-US"/>
        </w:rPr>
        <w:t xml:space="preserve">; and iii) </w:t>
      </w:r>
      <w:r w:rsidRPr="00607BA5">
        <w:rPr>
          <w:rFonts w:ascii="Arial" w:eastAsiaTheme="minorHAnsi" w:hAnsi="Arial" w:cs="Arial"/>
          <w:b/>
          <w:bCs/>
          <w:color w:val="000000" w:themeColor="text1"/>
          <w:lang w:val="en-US" w:eastAsia="en-US"/>
        </w:rPr>
        <w:t>incentives for sustainable production models</w:t>
      </w:r>
      <w:r w:rsidRPr="00607BA5">
        <w:rPr>
          <w:rFonts w:ascii="Arial" w:eastAsiaTheme="minorHAnsi" w:hAnsi="Arial" w:cs="Arial"/>
          <w:color w:val="000000" w:themeColor="text1"/>
          <w:lang w:val="en-US" w:eastAsia="en-US"/>
        </w:rPr>
        <w:t>.</w:t>
      </w:r>
    </w:p>
    <w:p w14:paraId="48E79AC9" w14:textId="77777777" w:rsidR="00513324" w:rsidRPr="00607BA5" w:rsidRDefault="00513324" w:rsidP="00751D64">
      <w:pPr>
        <w:pStyle w:val="HTMLPreformatted"/>
        <w:jc w:val="both"/>
        <w:rPr>
          <w:rFonts w:ascii="Arial" w:eastAsiaTheme="minorHAnsi" w:hAnsi="Arial" w:cs="Arial"/>
          <w:color w:val="000000" w:themeColor="text1"/>
          <w:lang w:val="en-US" w:eastAsia="en-US"/>
        </w:rPr>
      </w:pPr>
    </w:p>
    <w:p w14:paraId="73B6B26A" w14:textId="77777777" w:rsidR="00751D64" w:rsidRPr="00607BA5" w:rsidRDefault="00751D64" w:rsidP="00751D64">
      <w:pPr>
        <w:pStyle w:val="HTMLPreformatted"/>
        <w:jc w:val="both"/>
        <w:rPr>
          <w:rFonts w:ascii="Arial" w:hAnsi="Arial" w:cs="Arial"/>
          <w:color w:val="000000" w:themeColor="text1"/>
          <w:lang w:val="en-US"/>
        </w:rPr>
      </w:pPr>
    </w:p>
    <w:p w14:paraId="46DA61A0" w14:textId="2023C50D" w:rsidR="00751D64" w:rsidRPr="00607BA5" w:rsidRDefault="008743B1" w:rsidP="00751D64">
      <w:pPr>
        <w:autoSpaceDE w:val="0"/>
        <w:autoSpaceDN w:val="0"/>
        <w:spacing w:after="0" w:line="240" w:lineRule="auto"/>
        <w:jc w:val="both"/>
        <w:rPr>
          <w:rFonts w:ascii="Arial" w:hAnsi="Arial" w:cs="Arial"/>
          <w:b/>
          <w:bCs/>
          <w:color w:val="000000" w:themeColor="text1"/>
          <w:sz w:val="20"/>
          <w:szCs w:val="20"/>
        </w:rPr>
      </w:pPr>
      <w:r w:rsidRPr="00607BA5">
        <w:rPr>
          <w:rFonts w:ascii="Arial" w:hAnsi="Arial" w:cs="Arial"/>
          <w:b/>
          <w:bCs/>
          <w:color w:val="000000" w:themeColor="text1"/>
          <w:sz w:val="20"/>
          <w:szCs w:val="20"/>
        </w:rPr>
        <w:t>The electrification of transport</w:t>
      </w:r>
      <w:r w:rsidRPr="00607BA5">
        <w:rPr>
          <w:rFonts w:ascii="Arial" w:hAnsi="Arial" w:cs="Arial"/>
          <w:b/>
          <w:bCs/>
          <w:color w:val="000000" w:themeColor="text1"/>
          <w:sz w:val="20"/>
          <w:szCs w:val="20"/>
        </w:rPr>
        <w:t>ation</w:t>
      </w:r>
    </w:p>
    <w:p w14:paraId="691CECE3" w14:textId="69D8A7E8" w:rsidR="008743B1" w:rsidRPr="00607BA5" w:rsidRDefault="008743B1" w:rsidP="00751D64">
      <w:pPr>
        <w:autoSpaceDE w:val="0"/>
        <w:autoSpaceDN w:val="0"/>
        <w:spacing w:after="0" w:line="240" w:lineRule="auto"/>
        <w:jc w:val="both"/>
        <w:rPr>
          <w:rFonts w:ascii="Arial" w:hAnsi="Arial" w:cs="Arial"/>
          <w:b/>
          <w:bCs/>
          <w:color w:val="000000" w:themeColor="text1"/>
          <w:sz w:val="20"/>
          <w:szCs w:val="20"/>
        </w:rPr>
      </w:pPr>
    </w:p>
    <w:p w14:paraId="7A8E6E49" w14:textId="0FA6EE23" w:rsidR="00751D64" w:rsidRPr="00607BA5" w:rsidRDefault="008743B1" w:rsidP="00751D64">
      <w:pPr>
        <w:pStyle w:val="HTMLPreformatted"/>
        <w:jc w:val="both"/>
        <w:rPr>
          <w:rFonts w:ascii="Arial" w:eastAsiaTheme="minorHAnsi" w:hAnsi="Arial" w:cs="Arial"/>
          <w:color w:val="000000" w:themeColor="text1"/>
          <w:lang w:val="en-US" w:eastAsia="en-US"/>
        </w:rPr>
      </w:pPr>
      <w:r w:rsidRPr="00607BA5">
        <w:rPr>
          <w:rFonts w:ascii="Arial" w:eastAsiaTheme="minorHAnsi" w:hAnsi="Arial" w:cs="Arial"/>
          <w:color w:val="000000" w:themeColor="text1"/>
          <w:lang w:val="en-US" w:eastAsia="en-US"/>
        </w:rPr>
        <w:t xml:space="preserve">The electrification of the transport system will play </w:t>
      </w:r>
      <w:r w:rsidR="00607BA5" w:rsidRPr="00607BA5">
        <w:rPr>
          <w:rFonts w:ascii="Arial" w:eastAsiaTheme="minorHAnsi" w:hAnsi="Arial" w:cs="Arial"/>
          <w:color w:val="000000" w:themeColor="text1"/>
          <w:lang w:val="en-US" w:eastAsia="en-US"/>
        </w:rPr>
        <w:t>a significant role</w:t>
      </w:r>
      <w:r w:rsidRPr="00607BA5">
        <w:rPr>
          <w:rFonts w:ascii="Arial" w:eastAsiaTheme="minorHAnsi" w:hAnsi="Arial" w:cs="Arial"/>
          <w:color w:val="000000" w:themeColor="text1"/>
          <w:lang w:val="en-US" w:eastAsia="en-US"/>
        </w:rPr>
        <w:t xml:space="preserve"> in reducing greenhouse gases (GHG), potentially reaching a </w:t>
      </w:r>
      <w:r w:rsidRPr="00607BA5">
        <w:rPr>
          <w:rFonts w:ascii="Arial" w:eastAsiaTheme="minorHAnsi" w:hAnsi="Arial" w:cs="Arial"/>
          <w:b/>
          <w:bCs/>
          <w:color w:val="000000" w:themeColor="text1"/>
          <w:lang w:val="en-US" w:eastAsia="en-US"/>
        </w:rPr>
        <w:t>38% reduction in emissions in the transport sector by 2050</w:t>
      </w:r>
      <w:r w:rsidRPr="00607BA5">
        <w:rPr>
          <w:rFonts w:ascii="Arial" w:eastAsiaTheme="minorHAnsi" w:hAnsi="Arial" w:cs="Arial"/>
          <w:color w:val="000000" w:themeColor="text1"/>
          <w:lang w:val="en-US" w:eastAsia="en-US"/>
        </w:rPr>
        <w:t>, with electric mobility possibly reaching an 11% share in private and public transport by 2030.</w:t>
      </w:r>
    </w:p>
    <w:p w14:paraId="3997D01D" w14:textId="7A29EEF2" w:rsidR="00751D64" w:rsidRPr="00607BA5" w:rsidRDefault="00751D64" w:rsidP="00751D64">
      <w:pPr>
        <w:pStyle w:val="HTMLPreformatted"/>
        <w:jc w:val="both"/>
        <w:rPr>
          <w:rFonts w:ascii="Arial" w:eastAsiaTheme="minorHAnsi" w:hAnsi="Arial" w:cs="Arial"/>
          <w:b/>
          <w:bCs/>
          <w:color w:val="000000" w:themeColor="text1"/>
          <w:lang w:val="en-US" w:eastAsia="en-US"/>
        </w:rPr>
      </w:pPr>
    </w:p>
    <w:p w14:paraId="35C0AE6E" w14:textId="3BF076D2" w:rsidR="004F4EF6" w:rsidRPr="00607BA5" w:rsidRDefault="004F4EF6" w:rsidP="00751D64">
      <w:pPr>
        <w:pStyle w:val="HTMLPreformatted"/>
        <w:jc w:val="both"/>
        <w:rPr>
          <w:rFonts w:ascii="Arial" w:eastAsiaTheme="minorHAnsi" w:hAnsi="Arial" w:cs="Arial"/>
          <w:b/>
          <w:bCs/>
          <w:color w:val="000000" w:themeColor="text1"/>
          <w:lang w:val="en-US" w:eastAsia="en-US"/>
        </w:rPr>
      </w:pPr>
    </w:p>
    <w:p w14:paraId="130B2D5C" w14:textId="77777777" w:rsidR="004F4EF6" w:rsidRPr="00607BA5" w:rsidRDefault="004F4EF6" w:rsidP="00751D64">
      <w:pPr>
        <w:pStyle w:val="HTMLPreformatted"/>
        <w:jc w:val="both"/>
        <w:rPr>
          <w:rFonts w:ascii="Arial" w:eastAsiaTheme="minorHAnsi" w:hAnsi="Arial" w:cs="Arial"/>
          <w:b/>
          <w:bCs/>
          <w:color w:val="000000" w:themeColor="text1"/>
          <w:lang w:val="en-US" w:eastAsia="en-US"/>
        </w:rPr>
      </w:pPr>
    </w:p>
    <w:p w14:paraId="07A5557F" w14:textId="223A1D55" w:rsidR="00751D64" w:rsidRPr="00607BA5" w:rsidRDefault="008743B1" w:rsidP="00751D64">
      <w:pPr>
        <w:pStyle w:val="HTMLPreformatted"/>
        <w:jc w:val="both"/>
        <w:rPr>
          <w:rFonts w:ascii="Arial" w:eastAsiaTheme="minorHAnsi" w:hAnsi="Arial" w:cs="Arial"/>
          <w:b/>
          <w:bCs/>
          <w:color w:val="000000" w:themeColor="text1"/>
          <w:lang w:val="en-US" w:eastAsia="en-US"/>
        </w:rPr>
      </w:pPr>
      <w:r w:rsidRPr="00607BA5">
        <w:rPr>
          <w:rFonts w:ascii="Arial" w:eastAsiaTheme="minorHAnsi" w:hAnsi="Arial" w:cs="Arial"/>
          <w:b/>
          <w:bCs/>
          <w:color w:val="000000" w:themeColor="text1"/>
          <w:lang w:val="en-US" w:eastAsia="en-US"/>
        </w:rPr>
        <w:t>Peru</w:t>
      </w:r>
      <w:r w:rsidRPr="00607BA5">
        <w:rPr>
          <w:rFonts w:ascii="Arial" w:eastAsiaTheme="minorHAnsi" w:hAnsi="Arial" w:cs="Arial"/>
          <w:b/>
          <w:bCs/>
          <w:color w:val="000000" w:themeColor="text1"/>
          <w:lang w:val="en-US" w:eastAsia="en-US"/>
        </w:rPr>
        <w:t>,</w:t>
      </w:r>
      <w:r w:rsidRPr="00607BA5">
        <w:rPr>
          <w:rFonts w:ascii="Arial" w:eastAsiaTheme="minorHAnsi" w:hAnsi="Arial" w:cs="Arial"/>
          <w:b/>
          <w:bCs/>
          <w:color w:val="000000" w:themeColor="text1"/>
          <w:lang w:val="en-US" w:eastAsia="en-US"/>
        </w:rPr>
        <w:t xml:space="preserve"> export</w:t>
      </w:r>
      <w:r w:rsidRPr="00607BA5">
        <w:rPr>
          <w:rFonts w:ascii="Arial" w:eastAsiaTheme="minorHAnsi" w:hAnsi="Arial" w:cs="Arial"/>
          <w:b/>
          <w:bCs/>
          <w:color w:val="000000" w:themeColor="text1"/>
          <w:lang w:val="en-US" w:eastAsia="en-US"/>
        </w:rPr>
        <w:t>ing country of</w:t>
      </w:r>
      <w:r w:rsidRPr="00607BA5">
        <w:rPr>
          <w:rFonts w:ascii="Arial" w:eastAsiaTheme="minorHAnsi" w:hAnsi="Arial" w:cs="Arial"/>
          <w:b/>
          <w:bCs/>
          <w:color w:val="000000" w:themeColor="text1"/>
          <w:lang w:val="en-US" w:eastAsia="en-US"/>
        </w:rPr>
        <w:t xml:space="preserve"> green hydrogen</w:t>
      </w:r>
    </w:p>
    <w:p w14:paraId="26DB8643" w14:textId="77777777" w:rsidR="00751D64" w:rsidRPr="00607BA5" w:rsidRDefault="00751D64" w:rsidP="00751D64">
      <w:pPr>
        <w:pStyle w:val="HTMLPreformatted"/>
        <w:jc w:val="both"/>
        <w:rPr>
          <w:rFonts w:ascii="Arial" w:eastAsiaTheme="minorHAnsi" w:hAnsi="Arial" w:cs="Arial"/>
          <w:b/>
          <w:bCs/>
          <w:color w:val="000000" w:themeColor="text1"/>
          <w:lang w:val="en-US" w:eastAsia="en-US"/>
        </w:rPr>
      </w:pPr>
    </w:p>
    <w:p w14:paraId="4C9672BC" w14:textId="3F6DD66F" w:rsidR="00607BA5" w:rsidRPr="00607BA5" w:rsidRDefault="00607BA5" w:rsidP="00607BA5">
      <w:pPr>
        <w:spacing w:after="0" w:line="240" w:lineRule="auto"/>
        <w:jc w:val="both"/>
        <w:rPr>
          <w:rFonts w:ascii="Arial" w:hAnsi="Arial" w:cs="Arial"/>
          <w:color w:val="000000" w:themeColor="text1"/>
          <w:sz w:val="20"/>
          <w:szCs w:val="20"/>
        </w:rPr>
      </w:pPr>
      <w:r w:rsidRPr="00607BA5">
        <w:rPr>
          <w:rFonts w:ascii="Arial" w:hAnsi="Arial" w:cs="Arial"/>
          <w:color w:val="000000" w:themeColor="text1"/>
          <w:sz w:val="20"/>
          <w:szCs w:val="20"/>
        </w:rPr>
        <w:t>The study's roadmap predicts the introduction of green hydrogen and that the industry would be the first sector to consume this element. Likewise, it is highlighted that, by 2030, Perú would become an exporting country of green hydrogen, with</w:t>
      </w:r>
      <w:r w:rsidR="00BD2685">
        <w:rPr>
          <w:rFonts w:ascii="Arial" w:hAnsi="Arial" w:cs="Arial"/>
          <w:color w:val="000000" w:themeColor="text1"/>
          <w:sz w:val="20"/>
          <w:szCs w:val="20"/>
        </w:rPr>
        <w:t xml:space="preserve"> an</w:t>
      </w:r>
      <w:r w:rsidRPr="00607BA5">
        <w:rPr>
          <w:rFonts w:ascii="Arial" w:hAnsi="Arial" w:cs="Arial"/>
          <w:color w:val="000000" w:themeColor="text1"/>
          <w:sz w:val="20"/>
          <w:szCs w:val="20"/>
        </w:rPr>
        <w:t xml:space="preserve"> oil equivalent of 0.06 million tons. It is even pointed out that green hydrogen will contribute to increasing the capacity of renewable energies in Perú since it is estimated that, by 2050, the energy needed to produce it would be </w:t>
      </w:r>
      <w:r w:rsidRPr="00607BA5">
        <w:rPr>
          <w:rFonts w:ascii="Arial" w:hAnsi="Arial" w:cs="Arial"/>
          <w:b/>
          <w:bCs/>
          <w:color w:val="000000" w:themeColor="text1"/>
          <w:sz w:val="20"/>
          <w:szCs w:val="20"/>
        </w:rPr>
        <w:t xml:space="preserve">26 TWh, that is, 19% of all the energy produced in </w:t>
      </w:r>
      <w:r w:rsidR="00BD2685">
        <w:rPr>
          <w:rFonts w:ascii="Arial" w:hAnsi="Arial" w:cs="Arial"/>
          <w:b/>
          <w:bCs/>
          <w:color w:val="000000" w:themeColor="text1"/>
          <w:sz w:val="20"/>
          <w:szCs w:val="20"/>
        </w:rPr>
        <w:t>the</w:t>
      </w:r>
      <w:r w:rsidRPr="00607BA5">
        <w:rPr>
          <w:rFonts w:ascii="Arial" w:hAnsi="Arial" w:cs="Arial"/>
          <w:b/>
          <w:bCs/>
          <w:color w:val="000000" w:themeColor="text1"/>
          <w:sz w:val="20"/>
          <w:szCs w:val="20"/>
        </w:rPr>
        <w:t xml:space="preserve"> country per year</w:t>
      </w:r>
      <w:r w:rsidRPr="00607BA5">
        <w:rPr>
          <w:rFonts w:ascii="Arial" w:hAnsi="Arial" w:cs="Arial"/>
          <w:color w:val="000000" w:themeColor="text1"/>
          <w:sz w:val="20"/>
          <w:szCs w:val="20"/>
        </w:rPr>
        <w:t>.</w:t>
      </w:r>
    </w:p>
    <w:p w14:paraId="42BC8710" w14:textId="77777777" w:rsidR="00607BA5" w:rsidRPr="00607BA5" w:rsidRDefault="00607BA5" w:rsidP="00607BA5">
      <w:pPr>
        <w:spacing w:after="0" w:line="240" w:lineRule="auto"/>
        <w:jc w:val="both"/>
        <w:rPr>
          <w:rFonts w:ascii="Arial" w:hAnsi="Arial" w:cs="Arial"/>
          <w:color w:val="000000" w:themeColor="text1"/>
          <w:sz w:val="20"/>
          <w:szCs w:val="20"/>
        </w:rPr>
      </w:pPr>
    </w:p>
    <w:p w14:paraId="559658D0" w14:textId="4F0A760F" w:rsidR="00607BA5" w:rsidRPr="00607BA5" w:rsidRDefault="00607BA5" w:rsidP="00607BA5">
      <w:pPr>
        <w:spacing w:after="0" w:line="240" w:lineRule="auto"/>
        <w:jc w:val="both"/>
        <w:rPr>
          <w:rFonts w:ascii="Arial" w:hAnsi="Arial" w:cs="Arial"/>
          <w:color w:val="000000" w:themeColor="text1"/>
          <w:sz w:val="20"/>
          <w:szCs w:val="20"/>
        </w:rPr>
      </w:pPr>
      <w:r w:rsidRPr="00607BA5">
        <w:rPr>
          <w:rFonts w:ascii="Arial" w:hAnsi="Arial" w:cs="Arial"/>
          <w:color w:val="000000" w:themeColor="text1"/>
          <w:sz w:val="20"/>
          <w:szCs w:val="20"/>
        </w:rPr>
        <w:t xml:space="preserve">The updated study has been promoted considering the importance that the fight against climate change has at a global level and the commitment assumed by the countries in the last COP 26 in Glasgow, to advance </w:t>
      </w:r>
      <w:r w:rsidR="00BD2685">
        <w:rPr>
          <w:rFonts w:ascii="Arial" w:hAnsi="Arial" w:cs="Arial"/>
          <w:color w:val="000000" w:themeColor="text1"/>
          <w:sz w:val="20"/>
          <w:szCs w:val="20"/>
        </w:rPr>
        <w:t xml:space="preserve">and update </w:t>
      </w:r>
      <w:r w:rsidRPr="00607BA5">
        <w:rPr>
          <w:rFonts w:ascii="Arial" w:hAnsi="Arial" w:cs="Arial"/>
          <w:color w:val="000000" w:themeColor="text1"/>
          <w:sz w:val="20"/>
          <w:szCs w:val="20"/>
        </w:rPr>
        <w:t>their NDC in 2022.</w:t>
      </w:r>
    </w:p>
    <w:p w14:paraId="03DA01E7" w14:textId="77777777" w:rsidR="00607BA5" w:rsidRPr="00607BA5" w:rsidRDefault="00607BA5" w:rsidP="00607BA5">
      <w:pPr>
        <w:spacing w:after="0" w:line="240" w:lineRule="auto"/>
        <w:jc w:val="both"/>
        <w:rPr>
          <w:rFonts w:ascii="Arial" w:hAnsi="Arial" w:cs="Arial"/>
          <w:color w:val="000000" w:themeColor="text1"/>
          <w:sz w:val="20"/>
          <w:szCs w:val="20"/>
        </w:rPr>
      </w:pPr>
    </w:p>
    <w:p w14:paraId="0D10D912" w14:textId="76F77D76" w:rsidR="008A6822" w:rsidRPr="00607BA5" w:rsidRDefault="00607BA5" w:rsidP="00607BA5">
      <w:pPr>
        <w:spacing w:after="0" w:line="240" w:lineRule="auto"/>
        <w:jc w:val="both"/>
        <w:rPr>
          <w:rFonts w:ascii="Arial" w:hAnsi="Arial" w:cs="Arial"/>
          <w:color w:val="000000" w:themeColor="text1"/>
          <w:sz w:val="20"/>
          <w:szCs w:val="20"/>
        </w:rPr>
      </w:pPr>
      <w:r w:rsidRPr="00607BA5">
        <w:rPr>
          <w:rFonts w:ascii="Arial" w:hAnsi="Arial" w:cs="Arial"/>
          <w:color w:val="000000" w:themeColor="text1"/>
          <w:sz w:val="20"/>
          <w:szCs w:val="20"/>
        </w:rPr>
        <w:t xml:space="preserve">The most relevant stakeholders in the energy sector, including government entities (Ministries of Energy and Mines, Environment, Economy and Finance, Transport and Communications, ATU, and the Municipality of Lima) were invited to the </w:t>
      </w:r>
      <w:r w:rsidR="00BD2685">
        <w:rPr>
          <w:rFonts w:ascii="Arial" w:hAnsi="Arial" w:cs="Arial"/>
          <w:color w:val="000000" w:themeColor="text1"/>
          <w:sz w:val="20"/>
          <w:szCs w:val="20"/>
        </w:rPr>
        <w:t xml:space="preserve">study’s </w:t>
      </w:r>
      <w:r w:rsidRPr="00607BA5">
        <w:rPr>
          <w:rFonts w:ascii="Arial" w:hAnsi="Arial" w:cs="Arial"/>
          <w:color w:val="000000" w:themeColor="text1"/>
          <w:sz w:val="20"/>
          <w:szCs w:val="20"/>
        </w:rPr>
        <w:t>worktables</w:t>
      </w:r>
      <w:r w:rsidRPr="00607BA5">
        <w:rPr>
          <w:rFonts w:ascii="Arial" w:hAnsi="Arial" w:cs="Arial"/>
          <w:color w:val="000000" w:themeColor="text1"/>
          <w:sz w:val="20"/>
          <w:szCs w:val="20"/>
        </w:rPr>
        <w:t>, as well as civil society actors such as business associations, companies linked to the energy sector, NGOs, institutions, and representatives of the academy.</w:t>
      </w:r>
    </w:p>
    <w:p w14:paraId="7571B2D2" w14:textId="25E6142F" w:rsidR="006D185E" w:rsidRPr="00607BA5" w:rsidRDefault="006D185E" w:rsidP="00751D64">
      <w:pPr>
        <w:autoSpaceDE w:val="0"/>
        <w:autoSpaceDN w:val="0"/>
        <w:spacing w:after="0" w:line="240" w:lineRule="auto"/>
        <w:jc w:val="both"/>
        <w:rPr>
          <w:rFonts w:ascii="Arial" w:hAnsi="Arial" w:cs="Arial"/>
          <w:b/>
          <w:bCs/>
          <w:color w:val="000000" w:themeColor="text1"/>
          <w:sz w:val="20"/>
          <w:szCs w:val="20"/>
        </w:rPr>
      </w:pPr>
    </w:p>
    <w:p w14:paraId="1E36888E" w14:textId="77777777" w:rsidR="00804637" w:rsidRPr="00607BA5" w:rsidRDefault="00804637" w:rsidP="00751D64">
      <w:pPr>
        <w:autoSpaceDE w:val="0"/>
        <w:autoSpaceDN w:val="0"/>
        <w:spacing w:after="0" w:line="240" w:lineRule="auto"/>
        <w:jc w:val="both"/>
        <w:rPr>
          <w:rFonts w:ascii="Arial" w:hAnsi="Arial" w:cs="Arial"/>
          <w:b/>
          <w:bCs/>
          <w:color w:val="000000" w:themeColor="text1"/>
          <w:sz w:val="20"/>
          <w:szCs w:val="20"/>
        </w:rPr>
      </w:pPr>
    </w:p>
    <w:p w14:paraId="78EFDFCB" w14:textId="77777777" w:rsidR="00804637" w:rsidRPr="00607BA5" w:rsidRDefault="00804637" w:rsidP="00751D64">
      <w:pPr>
        <w:autoSpaceDE w:val="0"/>
        <w:autoSpaceDN w:val="0"/>
        <w:spacing w:after="0" w:line="240" w:lineRule="auto"/>
        <w:jc w:val="both"/>
        <w:rPr>
          <w:rFonts w:ascii="Arial" w:hAnsi="Arial" w:cs="Arial"/>
          <w:b/>
          <w:bCs/>
          <w:color w:val="000000" w:themeColor="text1"/>
          <w:sz w:val="20"/>
          <w:szCs w:val="20"/>
        </w:rPr>
      </w:pPr>
    </w:p>
    <w:p w14:paraId="5A05C443" w14:textId="77777777" w:rsidR="00804637" w:rsidRPr="00607BA5" w:rsidRDefault="00804637" w:rsidP="00751D64">
      <w:pPr>
        <w:autoSpaceDE w:val="0"/>
        <w:autoSpaceDN w:val="0"/>
        <w:spacing w:after="0" w:line="240" w:lineRule="auto"/>
        <w:jc w:val="both"/>
        <w:rPr>
          <w:rFonts w:ascii="Arial" w:hAnsi="Arial" w:cs="Arial"/>
          <w:b/>
          <w:bCs/>
          <w:color w:val="000000" w:themeColor="text1"/>
          <w:sz w:val="20"/>
          <w:szCs w:val="20"/>
        </w:rPr>
      </w:pPr>
    </w:p>
    <w:p w14:paraId="2A14F178" w14:textId="648443F4" w:rsidR="00905AF6" w:rsidRPr="00607BA5" w:rsidRDefault="00905AF6" w:rsidP="00751D64">
      <w:pPr>
        <w:spacing w:after="0" w:line="240" w:lineRule="auto"/>
        <w:jc w:val="both"/>
        <w:rPr>
          <w:rFonts w:ascii="Arial" w:hAnsi="Arial" w:cs="Arial"/>
          <w:bCs/>
          <w:color w:val="000000" w:themeColor="text1"/>
          <w:sz w:val="20"/>
          <w:szCs w:val="20"/>
        </w:rPr>
      </w:pPr>
    </w:p>
    <w:sectPr w:rsidR="00905AF6" w:rsidRPr="00607BA5" w:rsidSect="00140ED0">
      <w:headerReference w:type="default" r:id="rId13"/>
      <w:foot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BFF2" w14:textId="77777777" w:rsidR="007F6687" w:rsidRDefault="007F6687" w:rsidP="00590D1C">
      <w:pPr>
        <w:spacing w:after="0" w:line="240" w:lineRule="auto"/>
      </w:pPr>
      <w:r>
        <w:separator/>
      </w:r>
    </w:p>
  </w:endnote>
  <w:endnote w:type="continuationSeparator" w:id="0">
    <w:p w14:paraId="617D9205" w14:textId="77777777" w:rsidR="007F6687" w:rsidRDefault="007F6687" w:rsidP="0059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098E" w14:textId="77777777" w:rsidR="00992BED" w:rsidRDefault="00992BED"/>
  <w:tbl>
    <w:tblPr>
      <w:tblW w:w="5000" w:type="pct"/>
      <w:tblBorders>
        <w:top w:val="single" w:sz="18" w:space="0" w:color="808080"/>
        <w:insideV w:val="single" w:sz="18" w:space="0" w:color="808080"/>
      </w:tblBorders>
      <w:tblLook w:val="04A0" w:firstRow="1" w:lastRow="0" w:firstColumn="1" w:lastColumn="0" w:noHBand="0" w:noVBand="1"/>
    </w:tblPr>
    <w:tblGrid>
      <w:gridCol w:w="1092"/>
      <w:gridCol w:w="7978"/>
    </w:tblGrid>
    <w:tr w:rsidR="009F4056" w:rsidRPr="00044988" w14:paraId="69526D6E" w14:textId="77777777" w:rsidTr="003E35A9">
      <w:trPr>
        <w:trHeight w:val="522"/>
      </w:trPr>
      <w:tc>
        <w:tcPr>
          <w:tcW w:w="1092" w:type="dxa"/>
        </w:tcPr>
        <w:p w14:paraId="3EF47064" w14:textId="77777777" w:rsidR="009F4056" w:rsidRPr="003232A0" w:rsidRDefault="009F4056" w:rsidP="009F4056">
          <w:pPr>
            <w:pStyle w:val="Footer"/>
            <w:jc w:val="right"/>
            <w:rPr>
              <w:b/>
              <w:color w:val="5B9BD5"/>
              <w:sz w:val="32"/>
              <w:szCs w:val="32"/>
            </w:rPr>
          </w:pPr>
          <w:r>
            <w:rPr>
              <w:b/>
              <w:noProof/>
              <w:color w:val="5B9BD5"/>
              <w:sz w:val="32"/>
              <w:szCs w:val="32"/>
              <w:lang w:val="es-PE" w:eastAsia="es-PE"/>
            </w:rPr>
            <w:drawing>
              <wp:inline distT="0" distB="0" distL="0" distR="0" wp14:anchorId="19B96128" wp14:editId="77D102B6">
                <wp:extent cx="444801" cy="4462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png"/>
                        <pic:cNvPicPr/>
                      </pic:nvPicPr>
                      <pic:blipFill>
                        <a:blip r:embed="rId1">
                          <a:extLst>
                            <a:ext uri="{28A0092B-C50C-407E-A947-70E740481C1C}">
                              <a14:useLocalDpi xmlns:a14="http://schemas.microsoft.com/office/drawing/2010/main" val="0"/>
                            </a:ext>
                          </a:extLst>
                        </a:blip>
                        <a:stretch>
                          <a:fillRect/>
                        </a:stretch>
                      </pic:blipFill>
                      <pic:spPr>
                        <a:xfrm>
                          <a:off x="0" y="0"/>
                          <a:ext cx="447926" cy="449362"/>
                        </a:xfrm>
                        <a:prstGeom prst="rect">
                          <a:avLst/>
                        </a:prstGeom>
                      </pic:spPr>
                    </pic:pic>
                  </a:graphicData>
                </a:graphic>
              </wp:inline>
            </w:drawing>
          </w:r>
        </w:p>
      </w:tc>
      <w:tc>
        <w:tcPr>
          <w:tcW w:w="7978" w:type="dxa"/>
        </w:tcPr>
        <w:p w14:paraId="42888412" w14:textId="77777777" w:rsidR="009F4056" w:rsidRDefault="009F4056" w:rsidP="009F4056">
          <w:pPr>
            <w:spacing w:after="0" w:line="240" w:lineRule="auto"/>
            <w:rPr>
              <w:rFonts w:ascii="Arial" w:hAnsi="Arial" w:cs="Arial"/>
              <w:color w:val="3B3838"/>
              <w:sz w:val="16"/>
              <w:szCs w:val="16"/>
            </w:rPr>
          </w:pPr>
        </w:p>
        <w:p w14:paraId="72E6D47E" w14:textId="77777777" w:rsidR="00044988" w:rsidRPr="009D2C7C" w:rsidRDefault="00044988" w:rsidP="00044988">
          <w:pPr>
            <w:pStyle w:val="NormalWeb"/>
            <w:spacing w:before="0" w:beforeAutospacing="0" w:after="0" w:afterAutospacing="0"/>
            <w:rPr>
              <w:lang w:val="en-US"/>
            </w:rPr>
          </w:pPr>
          <w:r w:rsidRPr="009D2C7C">
            <w:rPr>
              <w:rFonts w:ascii="Arial" w:hAnsi="Arial" w:cs="Arial"/>
              <w:color w:val="3B3838"/>
              <w:sz w:val="16"/>
              <w:szCs w:val="16"/>
              <w:lang w:val="en-US"/>
            </w:rPr>
            <w:t>For additional information, please contact the Press Office of Enel Perú: </w:t>
          </w:r>
        </w:p>
        <w:p w14:paraId="1C72D771" w14:textId="77777777" w:rsidR="00044988" w:rsidRPr="009D2C7C" w:rsidRDefault="00044988" w:rsidP="00044988">
          <w:pPr>
            <w:pStyle w:val="NormalWeb"/>
            <w:spacing w:before="0" w:beforeAutospacing="0" w:after="0" w:afterAutospacing="0"/>
            <w:rPr>
              <w:rFonts w:ascii="Arial" w:hAnsi="Arial" w:cs="Arial"/>
              <w:color w:val="3B3838"/>
              <w:sz w:val="16"/>
              <w:szCs w:val="16"/>
              <w:lang w:val="en-US"/>
            </w:rPr>
          </w:pPr>
          <w:r w:rsidRPr="009D2C7C">
            <w:rPr>
              <w:rFonts w:ascii="Arial" w:hAnsi="Arial" w:cs="Arial"/>
              <w:color w:val="3B3838"/>
              <w:sz w:val="16"/>
              <w:szCs w:val="16"/>
              <w:lang w:val="en-US"/>
            </w:rPr>
            <w:t xml:space="preserve">Henry Canales, </w:t>
          </w:r>
          <w:hyperlink r:id="rId2" w:history="1">
            <w:r w:rsidRPr="009D2C7C">
              <w:rPr>
                <w:rStyle w:val="Hyperlink"/>
                <w:rFonts w:ascii="Arial" w:hAnsi="Arial" w:cs="Arial"/>
                <w:sz w:val="16"/>
                <w:szCs w:val="16"/>
                <w:lang w:val="en-US"/>
              </w:rPr>
              <w:t>henry.canales@enel.com</w:t>
            </w:r>
          </w:hyperlink>
          <w:r w:rsidRPr="009D2C7C">
            <w:rPr>
              <w:rFonts w:ascii="Arial" w:hAnsi="Arial" w:cs="Arial"/>
              <w:color w:val="3B3838"/>
              <w:sz w:val="16"/>
              <w:szCs w:val="16"/>
              <w:lang w:val="en-US"/>
            </w:rPr>
            <w:t xml:space="preserve"> T +51 965 948 823 </w:t>
          </w:r>
        </w:p>
        <w:p w14:paraId="7CBFD2A7" w14:textId="77777777" w:rsidR="00044988" w:rsidRPr="00AB1E64" w:rsidRDefault="00044988" w:rsidP="00044988">
          <w:pPr>
            <w:spacing w:after="0" w:line="240" w:lineRule="auto"/>
            <w:rPr>
              <w:rFonts w:ascii="Arial" w:eastAsia="Times New Roman" w:hAnsi="Arial" w:cs="Arial"/>
              <w:noProof/>
              <w:color w:val="3B3838"/>
              <w:sz w:val="16"/>
              <w:szCs w:val="16"/>
            </w:rPr>
          </w:pPr>
          <w:r w:rsidRPr="00AB1E64">
            <w:rPr>
              <w:rFonts w:ascii="Arial" w:eastAsia="Times New Roman" w:hAnsi="Arial" w:cs="Arial"/>
              <w:noProof/>
              <w:color w:val="3B3838"/>
              <w:sz w:val="16"/>
              <w:szCs w:val="16"/>
            </w:rPr>
            <w:t xml:space="preserve">Isabel Martell, </w:t>
          </w:r>
          <w:hyperlink r:id="rId3" w:history="1">
            <w:r w:rsidRPr="00AB1E64">
              <w:rPr>
                <w:rStyle w:val="Hyperlink"/>
                <w:rFonts w:ascii="Arial" w:eastAsia="Times New Roman" w:hAnsi="Arial" w:cs="Arial"/>
                <w:noProof/>
                <w:sz w:val="16"/>
                <w:szCs w:val="16"/>
              </w:rPr>
              <w:t>isabel.martell@enel.com</w:t>
            </w:r>
          </w:hyperlink>
          <w:r w:rsidRPr="00AB1E64">
            <w:rPr>
              <w:rFonts w:ascii="Arial" w:eastAsia="Times New Roman" w:hAnsi="Arial" w:cs="Arial"/>
              <w:noProof/>
              <w:color w:val="3B3838"/>
              <w:sz w:val="16"/>
              <w:szCs w:val="16"/>
            </w:rPr>
            <w:t xml:space="preserve"> T +51 938 480 924 </w:t>
          </w:r>
        </w:p>
        <w:p w14:paraId="090D967A" w14:textId="6601513E" w:rsidR="009F4056" w:rsidRPr="00044988" w:rsidRDefault="00044988" w:rsidP="00044988">
          <w:pPr>
            <w:spacing w:after="0" w:line="240" w:lineRule="auto"/>
            <w:rPr>
              <w:rFonts w:ascii="Arial" w:eastAsia="Times New Roman" w:hAnsi="Arial" w:cs="Arial"/>
              <w:bCs/>
              <w:noProof/>
              <w:color w:val="3B3838"/>
              <w:sz w:val="16"/>
              <w:szCs w:val="16"/>
            </w:rPr>
          </w:pPr>
          <w:r w:rsidRPr="00C2222E">
            <w:rPr>
              <w:rFonts w:ascii="Arial" w:hAnsi="Arial" w:cs="Arial"/>
              <w:color w:val="3B3838"/>
              <w:sz w:val="16"/>
              <w:szCs w:val="16"/>
            </w:rPr>
            <w:t xml:space="preserve">Follow us on Twitter: </w:t>
          </w:r>
          <w:hyperlink r:id="rId4" w:history="1">
            <w:r w:rsidRPr="00C2222E">
              <w:rPr>
                <w:rStyle w:val="Hyperlink"/>
                <w:rFonts w:ascii="Arial" w:hAnsi="Arial" w:cs="Arial"/>
                <w:sz w:val="16"/>
                <w:szCs w:val="16"/>
              </w:rPr>
              <w:t>@EnelPeru</w:t>
            </w:r>
          </w:hyperlink>
        </w:p>
      </w:tc>
    </w:tr>
  </w:tbl>
  <w:p w14:paraId="1A3D0E1F" w14:textId="77777777" w:rsidR="009F4056" w:rsidRPr="00044988" w:rsidRDefault="009F4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7B99" w14:textId="77777777" w:rsidR="007F6687" w:rsidRDefault="007F6687" w:rsidP="00590D1C">
      <w:pPr>
        <w:spacing w:after="0" w:line="240" w:lineRule="auto"/>
      </w:pPr>
      <w:r>
        <w:separator/>
      </w:r>
    </w:p>
  </w:footnote>
  <w:footnote w:type="continuationSeparator" w:id="0">
    <w:p w14:paraId="6CCCCF46" w14:textId="77777777" w:rsidR="007F6687" w:rsidRDefault="007F6687" w:rsidP="0059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3927" w14:textId="77777777" w:rsidR="00D00DDF" w:rsidRDefault="00D00DDF">
    <w:pPr>
      <w:pStyle w:val="Header"/>
    </w:pPr>
  </w:p>
  <w:p w14:paraId="391B7000" w14:textId="707F3798" w:rsidR="00B732B6" w:rsidRDefault="008718CE">
    <w:pPr>
      <w:pStyle w:val="Header"/>
    </w:pPr>
    <w:r>
      <w:rPr>
        <w:noProof/>
      </w:rPr>
      <w:drawing>
        <wp:inline distT="0" distB="0" distL="0" distR="0" wp14:anchorId="5B84C44B" wp14:editId="0EB8DA4D">
          <wp:extent cx="1952625" cy="423248"/>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87757" cy="430863"/>
                  </a:xfrm>
                  <a:prstGeom prst="rect">
                    <a:avLst/>
                  </a:prstGeom>
                </pic:spPr>
              </pic:pic>
            </a:graphicData>
          </a:graphic>
        </wp:inline>
      </w:drawing>
    </w:r>
  </w:p>
  <w:p w14:paraId="6CA479E0" w14:textId="77777777" w:rsidR="00244260" w:rsidRDefault="00244260">
    <w:pPr>
      <w:pStyle w:val="Header"/>
    </w:pPr>
  </w:p>
  <w:p w14:paraId="7CE48A52" w14:textId="252F3595" w:rsidR="00590D1C" w:rsidRDefault="00590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4C3"/>
    <w:multiLevelType w:val="hybridMultilevel"/>
    <w:tmpl w:val="60449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8D7F20"/>
    <w:multiLevelType w:val="hybridMultilevel"/>
    <w:tmpl w:val="6188332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D11B6B"/>
    <w:multiLevelType w:val="hybridMultilevel"/>
    <w:tmpl w:val="10446E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D5D2ECE"/>
    <w:multiLevelType w:val="hybridMultilevel"/>
    <w:tmpl w:val="C60E8366"/>
    <w:lvl w:ilvl="0" w:tplc="280A0001">
      <w:start w:val="1"/>
      <w:numFmt w:val="bullet"/>
      <w:lvlText w:val=""/>
      <w:lvlJc w:val="left"/>
      <w:pPr>
        <w:ind w:left="1068" w:hanging="360"/>
      </w:pPr>
      <w:rPr>
        <w:rFonts w:ascii="Symbol" w:hAnsi="Symbo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25D93EBA"/>
    <w:multiLevelType w:val="hybridMultilevel"/>
    <w:tmpl w:val="2DAC9EEA"/>
    <w:lvl w:ilvl="0" w:tplc="E506B2C2">
      <w:start w:val="1"/>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C642D7"/>
    <w:multiLevelType w:val="hybridMultilevel"/>
    <w:tmpl w:val="DB56FB1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35692946"/>
    <w:multiLevelType w:val="hybridMultilevel"/>
    <w:tmpl w:val="FFFFFFFF"/>
    <w:lvl w:ilvl="0" w:tplc="2B9209FA">
      <w:start w:val="1"/>
      <w:numFmt w:val="bullet"/>
      <w:lvlText w:val=""/>
      <w:lvlJc w:val="left"/>
      <w:pPr>
        <w:ind w:left="720" w:hanging="360"/>
      </w:pPr>
      <w:rPr>
        <w:rFonts w:ascii="Symbol" w:hAnsi="Symbol" w:hint="default"/>
      </w:rPr>
    </w:lvl>
    <w:lvl w:ilvl="1" w:tplc="0B8C69EE">
      <w:start w:val="1"/>
      <w:numFmt w:val="bullet"/>
      <w:lvlText w:val="o"/>
      <w:lvlJc w:val="left"/>
      <w:pPr>
        <w:ind w:left="1440" w:hanging="360"/>
      </w:pPr>
      <w:rPr>
        <w:rFonts w:ascii="Courier New" w:hAnsi="Courier New" w:hint="default"/>
      </w:rPr>
    </w:lvl>
    <w:lvl w:ilvl="2" w:tplc="2F4E3F86">
      <w:start w:val="1"/>
      <w:numFmt w:val="bullet"/>
      <w:lvlText w:val=""/>
      <w:lvlJc w:val="left"/>
      <w:pPr>
        <w:ind w:left="2160" w:hanging="360"/>
      </w:pPr>
      <w:rPr>
        <w:rFonts w:ascii="Wingdings" w:hAnsi="Wingdings" w:hint="default"/>
      </w:rPr>
    </w:lvl>
    <w:lvl w:ilvl="3" w:tplc="4446BA36">
      <w:start w:val="1"/>
      <w:numFmt w:val="bullet"/>
      <w:lvlText w:val=""/>
      <w:lvlJc w:val="left"/>
      <w:pPr>
        <w:ind w:left="2880" w:hanging="360"/>
      </w:pPr>
      <w:rPr>
        <w:rFonts w:ascii="Symbol" w:hAnsi="Symbol" w:hint="default"/>
      </w:rPr>
    </w:lvl>
    <w:lvl w:ilvl="4" w:tplc="5B683A8C">
      <w:start w:val="1"/>
      <w:numFmt w:val="bullet"/>
      <w:lvlText w:val="o"/>
      <w:lvlJc w:val="left"/>
      <w:pPr>
        <w:ind w:left="3600" w:hanging="360"/>
      </w:pPr>
      <w:rPr>
        <w:rFonts w:ascii="Courier New" w:hAnsi="Courier New" w:hint="default"/>
      </w:rPr>
    </w:lvl>
    <w:lvl w:ilvl="5" w:tplc="565EC2E8">
      <w:start w:val="1"/>
      <w:numFmt w:val="bullet"/>
      <w:lvlText w:val=""/>
      <w:lvlJc w:val="left"/>
      <w:pPr>
        <w:ind w:left="4320" w:hanging="360"/>
      </w:pPr>
      <w:rPr>
        <w:rFonts w:ascii="Wingdings" w:hAnsi="Wingdings" w:hint="default"/>
      </w:rPr>
    </w:lvl>
    <w:lvl w:ilvl="6" w:tplc="E4D67ED0">
      <w:start w:val="1"/>
      <w:numFmt w:val="bullet"/>
      <w:lvlText w:val=""/>
      <w:lvlJc w:val="left"/>
      <w:pPr>
        <w:ind w:left="5040" w:hanging="360"/>
      </w:pPr>
      <w:rPr>
        <w:rFonts w:ascii="Symbol" w:hAnsi="Symbol" w:hint="default"/>
      </w:rPr>
    </w:lvl>
    <w:lvl w:ilvl="7" w:tplc="5A4A20C4">
      <w:start w:val="1"/>
      <w:numFmt w:val="bullet"/>
      <w:lvlText w:val="o"/>
      <w:lvlJc w:val="left"/>
      <w:pPr>
        <w:ind w:left="5760" w:hanging="360"/>
      </w:pPr>
      <w:rPr>
        <w:rFonts w:ascii="Courier New" w:hAnsi="Courier New" w:hint="default"/>
      </w:rPr>
    </w:lvl>
    <w:lvl w:ilvl="8" w:tplc="543E1E90">
      <w:start w:val="1"/>
      <w:numFmt w:val="bullet"/>
      <w:lvlText w:val=""/>
      <w:lvlJc w:val="left"/>
      <w:pPr>
        <w:ind w:left="6480" w:hanging="360"/>
      </w:pPr>
      <w:rPr>
        <w:rFonts w:ascii="Wingdings" w:hAnsi="Wingdings" w:hint="default"/>
      </w:rPr>
    </w:lvl>
  </w:abstractNum>
  <w:abstractNum w:abstractNumId="7" w15:restartNumberingAfterBreak="0">
    <w:nsid w:val="50115F55"/>
    <w:multiLevelType w:val="hybridMultilevel"/>
    <w:tmpl w:val="08C49688"/>
    <w:lvl w:ilvl="0" w:tplc="77EE7E22">
      <w:start w:val="1"/>
      <w:numFmt w:val="bullet"/>
      <w:lvlText w:val="•"/>
      <w:lvlJc w:val="left"/>
      <w:pPr>
        <w:tabs>
          <w:tab w:val="num" w:pos="720"/>
        </w:tabs>
        <w:ind w:left="720" w:hanging="360"/>
      </w:pPr>
      <w:rPr>
        <w:rFonts w:ascii="Arial" w:hAnsi="Arial" w:hint="default"/>
      </w:rPr>
    </w:lvl>
    <w:lvl w:ilvl="1" w:tplc="3F24AFA0" w:tentative="1">
      <w:start w:val="1"/>
      <w:numFmt w:val="bullet"/>
      <w:lvlText w:val="•"/>
      <w:lvlJc w:val="left"/>
      <w:pPr>
        <w:tabs>
          <w:tab w:val="num" w:pos="1440"/>
        </w:tabs>
        <w:ind w:left="1440" w:hanging="360"/>
      </w:pPr>
      <w:rPr>
        <w:rFonts w:ascii="Arial" w:hAnsi="Arial" w:hint="default"/>
      </w:rPr>
    </w:lvl>
    <w:lvl w:ilvl="2" w:tplc="42BC8636" w:tentative="1">
      <w:start w:val="1"/>
      <w:numFmt w:val="bullet"/>
      <w:lvlText w:val="•"/>
      <w:lvlJc w:val="left"/>
      <w:pPr>
        <w:tabs>
          <w:tab w:val="num" w:pos="2160"/>
        </w:tabs>
        <w:ind w:left="2160" w:hanging="360"/>
      </w:pPr>
      <w:rPr>
        <w:rFonts w:ascii="Arial" w:hAnsi="Arial" w:hint="default"/>
      </w:rPr>
    </w:lvl>
    <w:lvl w:ilvl="3" w:tplc="6B285CD2" w:tentative="1">
      <w:start w:val="1"/>
      <w:numFmt w:val="bullet"/>
      <w:lvlText w:val="•"/>
      <w:lvlJc w:val="left"/>
      <w:pPr>
        <w:tabs>
          <w:tab w:val="num" w:pos="2880"/>
        </w:tabs>
        <w:ind w:left="2880" w:hanging="360"/>
      </w:pPr>
      <w:rPr>
        <w:rFonts w:ascii="Arial" w:hAnsi="Arial" w:hint="default"/>
      </w:rPr>
    </w:lvl>
    <w:lvl w:ilvl="4" w:tplc="5D120714" w:tentative="1">
      <w:start w:val="1"/>
      <w:numFmt w:val="bullet"/>
      <w:lvlText w:val="•"/>
      <w:lvlJc w:val="left"/>
      <w:pPr>
        <w:tabs>
          <w:tab w:val="num" w:pos="3600"/>
        </w:tabs>
        <w:ind w:left="3600" w:hanging="360"/>
      </w:pPr>
      <w:rPr>
        <w:rFonts w:ascii="Arial" w:hAnsi="Arial" w:hint="default"/>
      </w:rPr>
    </w:lvl>
    <w:lvl w:ilvl="5" w:tplc="EC283EBA" w:tentative="1">
      <w:start w:val="1"/>
      <w:numFmt w:val="bullet"/>
      <w:lvlText w:val="•"/>
      <w:lvlJc w:val="left"/>
      <w:pPr>
        <w:tabs>
          <w:tab w:val="num" w:pos="4320"/>
        </w:tabs>
        <w:ind w:left="4320" w:hanging="360"/>
      </w:pPr>
      <w:rPr>
        <w:rFonts w:ascii="Arial" w:hAnsi="Arial" w:hint="default"/>
      </w:rPr>
    </w:lvl>
    <w:lvl w:ilvl="6" w:tplc="CDB646D0" w:tentative="1">
      <w:start w:val="1"/>
      <w:numFmt w:val="bullet"/>
      <w:lvlText w:val="•"/>
      <w:lvlJc w:val="left"/>
      <w:pPr>
        <w:tabs>
          <w:tab w:val="num" w:pos="5040"/>
        </w:tabs>
        <w:ind w:left="5040" w:hanging="360"/>
      </w:pPr>
      <w:rPr>
        <w:rFonts w:ascii="Arial" w:hAnsi="Arial" w:hint="default"/>
      </w:rPr>
    </w:lvl>
    <w:lvl w:ilvl="7" w:tplc="E4F04B42" w:tentative="1">
      <w:start w:val="1"/>
      <w:numFmt w:val="bullet"/>
      <w:lvlText w:val="•"/>
      <w:lvlJc w:val="left"/>
      <w:pPr>
        <w:tabs>
          <w:tab w:val="num" w:pos="5760"/>
        </w:tabs>
        <w:ind w:left="5760" w:hanging="360"/>
      </w:pPr>
      <w:rPr>
        <w:rFonts w:ascii="Arial" w:hAnsi="Arial" w:hint="default"/>
      </w:rPr>
    </w:lvl>
    <w:lvl w:ilvl="8" w:tplc="7122B9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6A364F"/>
    <w:multiLevelType w:val="hybridMultilevel"/>
    <w:tmpl w:val="2A30D1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D522105"/>
    <w:multiLevelType w:val="hybridMultilevel"/>
    <w:tmpl w:val="FF5400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858127D"/>
    <w:multiLevelType w:val="hybridMultilevel"/>
    <w:tmpl w:val="FFFFFFFF"/>
    <w:lvl w:ilvl="0" w:tplc="D150729A">
      <w:start w:val="1"/>
      <w:numFmt w:val="bullet"/>
      <w:lvlText w:val=""/>
      <w:lvlJc w:val="left"/>
      <w:pPr>
        <w:ind w:left="720" w:hanging="360"/>
      </w:pPr>
      <w:rPr>
        <w:rFonts w:ascii="Symbol" w:hAnsi="Symbol" w:hint="default"/>
      </w:rPr>
    </w:lvl>
    <w:lvl w:ilvl="1" w:tplc="E39ECAE4">
      <w:start w:val="1"/>
      <w:numFmt w:val="bullet"/>
      <w:lvlText w:val="o"/>
      <w:lvlJc w:val="left"/>
      <w:pPr>
        <w:ind w:left="1440" w:hanging="360"/>
      </w:pPr>
      <w:rPr>
        <w:rFonts w:ascii="Courier New" w:hAnsi="Courier New" w:hint="default"/>
      </w:rPr>
    </w:lvl>
    <w:lvl w:ilvl="2" w:tplc="22C088C4">
      <w:start w:val="1"/>
      <w:numFmt w:val="bullet"/>
      <w:lvlText w:val=""/>
      <w:lvlJc w:val="left"/>
      <w:pPr>
        <w:ind w:left="2160" w:hanging="360"/>
      </w:pPr>
      <w:rPr>
        <w:rFonts w:ascii="Wingdings" w:hAnsi="Wingdings" w:hint="default"/>
      </w:rPr>
    </w:lvl>
    <w:lvl w:ilvl="3" w:tplc="2E049EEA">
      <w:start w:val="1"/>
      <w:numFmt w:val="bullet"/>
      <w:lvlText w:val=""/>
      <w:lvlJc w:val="left"/>
      <w:pPr>
        <w:ind w:left="2880" w:hanging="360"/>
      </w:pPr>
      <w:rPr>
        <w:rFonts w:ascii="Symbol" w:hAnsi="Symbol" w:hint="default"/>
      </w:rPr>
    </w:lvl>
    <w:lvl w:ilvl="4" w:tplc="E3B08DDC">
      <w:start w:val="1"/>
      <w:numFmt w:val="bullet"/>
      <w:lvlText w:val="o"/>
      <w:lvlJc w:val="left"/>
      <w:pPr>
        <w:ind w:left="3600" w:hanging="360"/>
      </w:pPr>
      <w:rPr>
        <w:rFonts w:ascii="Courier New" w:hAnsi="Courier New" w:hint="default"/>
      </w:rPr>
    </w:lvl>
    <w:lvl w:ilvl="5" w:tplc="ACF6C756">
      <w:start w:val="1"/>
      <w:numFmt w:val="bullet"/>
      <w:lvlText w:val=""/>
      <w:lvlJc w:val="left"/>
      <w:pPr>
        <w:ind w:left="4320" w:hanging="360"/>
      </w:pPr>
      <w:rPr>
        <w:rFonts w:ascii="Wingdings" w:hAnsi="Wingdings" w:hint="default"/>
      </w:rPr>
    </w:lvl>
    <w:lvl w:ilvl="6" w:tplc="EA485920">
      <w:start w:val="1"/>
      <w:numFmt w:val="bullet"/>
      <w:lvlText w:val=""/>
      <w:lvlJc w:val="left"/>
      <w:pPr>
        <w:ind w:left="5040" w:hanging="360"/>
      </w:pPr>
      <w:rPr>
        <w:rFonts w:ascii="Symbol" w:hAnsi="Symbol" w:hint="default"/>
      </w:rPr>
    </w:lvl>
    <w:lvl w:ilvl="7" w:tplc="78DC2FBE">
      <w:start w:val="1"/>
      <w:numFmt w:val="bullet"/>
      <w:lvlText w:val="o"/>
      <w:lvlJc w:val="left"/>
      <w:pPr>
        <w:ind w:left="5760" w:hanging="360"/>
      </w:pPr>
      <w:rPr>
        <w:rFonts w:ascii="Courier New" w:hAnsi="Courier New" w:hint="default"/>
      </w:rPr>
    </w:lvl>
    <w:lvl w:ilvl="8" w:tplc="DDD26654">
      <w:start w:val="1"/>
      <w:numFmt w:val="bullet"/>
      <w:lvlText w:val=""/>
      <w:lvlJc w:val="left"/>
      <w:pPr>
        <w:ind w:left="6480" w:hanging="360"/>
      </w:pPr>
      <w:rPr>
        <w:rFonts w:ascii="Wingdings" w:hAnsi="Wingdings" w:hint="default"/>
      </w:rPr>
    </w:lvl>
  </w:abstractNum>
  <w:num w:numId="1" w16cid:durableId="1767923919">
    <w:abstractNumId w:val="5"/>
  </w:num>
  <w:num w:numId="2" w16cid:durableId="1878925506">
    <w:abstractNumId w:val="2"/>
  </w:num>
  <w:num w:numId="3" w16cid:durableId="1749183950">
    <w:abstractNumId w:val="8"/>
  </w:num>
  <w:num w:numId="4" w16cid:durableId="1696926895">
    <w:abstractNumId w:val="3"/>
  </w:num>
  <w:num w:numId="5" w16cid:durableId="1946770804">
    <w:abstractNumId w:val="7"/>
  </w:num>
  <w:num w:numId="6" w16cid:durableId="1941988025">
    <w:abstractNumId w:val="6"/>
  </w:num>
  <w:num w:numId="7" w16cid:durableId="1469320427">
    <w:abstractNumId w:val="10"/>
  </w:num>
  <w:num w:numId="8" w16cid:durableId="1137604458">
    <w:abstractNumId w:val="4"/>
  </w:num>
  <w:num w:numId="9" w16cid:durableId="757481418">
    <w:abstractNumId w:val="0"/>
  </w:num>
  <w:num w:numId="10" w16cid:durableId="980580866">
    <w:abstractNumId w:val="8"/>
  </w:num>
  <w:num w:numId="11" w16cid:durableId="1017581286">
    <w:abstractNumId w:val="1"/>
  </w:num>
  <w:num w:numId="12" w16cid:durableId="1255742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0" w:nlCheck="1" w:checkStyle="0"/>
  <w:activeWritingStyle w:appName="MSWord" w:lang="es-PE"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8C"/>
    <w:rsid w:val="00003028"/>
    <w:rsid w:val="000056B4"/>
    <w:rsid w:val="000116EF"/>
    <w:rsid w:val="00013840"/>
    <w:rsid w:val="0001389F"/>
    <w:rsid w:val="00015169"/>
    <w:rsid w:val="00015CFF"/>
    <w:rsid w:val="00016F0F"/>
    <w:rsid w:val="0002506A"/>
    <w:rsid w:val="00027324"/>
    <w:rsid w:val="00034161"/>
    <w:rsid w:val="00035A0B"/>
    <w:rsid w:val="00037471"/>
    <w:rsid w:val="0004277B"/>
    <w:rsid w:val="00043860"/>
    <w:rsid w:val="00044988"/>
    <w:rsid w:val="00047FC5"/>
    <w:rsid w:val="000516C1"/>
    <w:rsid w:val="00057EAC"/>
    <w:rsid w:val="00063AE7"/>
    <w:rsid w:val="0006615E"/>
    <w:rsid w:val="00067B92"/>
    <w:rsid w:val="00070F65"/>
    <w:rsid w:val="00077655"/>
    <w:rsid w:val="000840E0"/>
    <w:rsid w:val="000917F9"/>
    <w:rsid w:val="000A2565"/>
    <w:rsid w:val="000B18F4"/>
    <w:rsid w:val="000B6819"/>
    <w:rsid w:val="000B6A57"/>
    <w:rsid w:val="000B73B9"/>
    <w:rsid w:val="000C2C59"/>
    <w:rsid w:val="000C3D9F"/>
    <w:rsid w:val="000C5E92"/>
    <w:rsid w:val="000C60B7"/>
    <w:rsid w:val="000C69BB"/>
    <w:rsid w:val="000D0650"/>
    <w:rsid w:val="000E0E41"/>
    <w:rsid w:val="000E1FCC"/>
    <w:rsid w:val="000F7EBF"/>
    <w:rsid w:val="00101B80"/>
    <w:rsid w:val="001022CA"/>
    <w:rsid w:val="0010268F"/>
    <w:rsid w:val="0010461F"/>
    <w:rsid w:val="00111684"/>
    <w:rsid w:val="001154EC"/>
    <w:rsid w:val="00124AC3"/>
    <w:rsid w:val="00125ADC"/>
    <w:rsid w:val="001330A5"/>
    <w:rsid w:val="00134184"/>
    <w:rsid w:val="0013589E"/>
    <w:rsid w:val="00140094"/>
    <w:rsid w:val="00140ED0"/>
    <w:rsid w:val="00145237"/>
    <w:rsid w:val="001456E2"/>
    <w:rsid w:val="001475CC"/>
    <w:rsid w:val="0015042B"/>
    <w:rsid w:val="00151BF6"/>
    <w:rsid w:val="001557E4"/>
    <w:rsid w:val="00162C51"/>
    <w:rsid w:val="00163241"/>
    <w:rsid w:val="00163627"/>
    <w:rsid w:val="0019514D"/>
    <w:rsid w:val="00196CFD"/>
    <w:rsid w:val="001A34E5"/>
    <w:rsid w:val="001B075D"/>
    <w:rsid w:val="001B14F8"/>
    <w:rsid w:val="001B3B0D"/>
    <w:rsid w:val="001C3B4C"/>
    <w:rsid w:val="001C4AB9"/>
    <w:rsid w:val="001D4C31"/>
    <w:rsid w:val="001D62E7"/>
    <w:rsid w:val="001E40EF"/>
    <w:rsid w:val="001F1A32"/>
    <w:rsid w:val="00201003"/>
    <w:rsid w:val="00204879"/>
    <w:rsid w:val="00207A69"/>
    <w:rsid w:val="00223605"/>
    <w:rsid w:val="00225920"/>
    <w:rsid w:val="00237F5C"/>
    <w:rsid w:val="00244260"/>
    <w:rsid w:val="00244D17"/>
    <w:rsid w:val="00271FCD"/>
    <w:rsid w:val="002817D6"/>
    <w:rsid w:val="002845CD"/>
    <w:rsid w:val="00293244"/>
    <w:rsid w:val="00293B3D"/>
    <w:rsid w:val="00294534"/>
    <w:rsid w:val="002953F8"/>
    <w:rsid w:val="002A1D97"/>
    <w:rsid w:val="002A373E"/>
    <w:rsid w:val="002A3B82"/>
    <w:rsid w:val="002B1E08"/>
    <w:rsid w:val="002B2900"/>
    <w:rsid w:val="002B6D00"/>
    <w:rsid w:val="002C1175"/>
    <w:rsid w:val="002C587B"/>
    <w:rsid w:val="002C6C6D"/>
    <w:rsid w:val="002D4DE7"/>
    <w:rsid w:val="002D634D"/>
    <w:rsid w:val="003007B4"/>
    <w:rsid w:val="00305799"/>
    <w:rsid w:val="003127F6"/>
    <w:rsid w:val="0031293A"/>
    <w:rsid w:val="00315D95"/>
    <w:rsid w:val="00316CDE"/>
    <w:rsid w:val="00321496"/>
    <w:rsid w:val="0033377F"/>
    <w:rsid w:val="003337E3"/>
    <w:rsid w:val="00343B50"/>
    <w:rsid w:val="00346B61"/>
    <w:rsid w:val="003529BF"/>
    <w:rsid w:val="00355440"/>
    <w:rsid w:val="00360805"/>
    <w:rsid w:val="003648AE"/>
    <w:rsid w:val="00367B12"/>
    <w:rsid w:val="00371773"/>
    <w:rsid w:val="0038136C"/>
    <w:rsid w:val="00384A31"/>
    <w:rsid w:val="003A4A97"/>
    <w:rsid w:val="003A795E"/>
    <w:rsid w:val="003B239E"/>
    <w:rsid w:val="003D2CC1"/>
    <w:rsid w:val="003D5950"/>
    <w:rsid w:val="003E35A9"/>
    <w:rsid w:val="003E6B6B"/>
    <w:rsid w:val="003E7862"/>
    <w:rsid w:val="003F295C"/>
    <w:rsid w:val="003F3EE7"/>
    <w:rsid w:val="004014FA"/>
    <w:rsid w:val="00402D88"/>
    <w:rsid w:val="00404844"/>
    <w:rsid w:val="00405C6D"/>
    <w:rsid w:val="00407110"/>
    <w:rsid w:val="00411623"/>
    <w:rsid w:val="00415DA6"/>
    <w:rsid w:val="00417A92"/>
    <w:rsid w:val="00430264"/>
    <w:rsid w:val="004503C2"/>
    <w:rsid w:val="0045317C"/>
    <w:rsid w:val="00455D4B"/>
    <w:rsid w:val="00463F65"/>
    <w:rsid w:val="004725ED"/>
    <w:rsid w:val="004748DF"/>
    <w:rsid w:val="00476727"/>
    <w:rsid w:val="00477B94"/>
    <w:rsid w:val="00485769"/>
    <w:rsid w:val="00486461"/>
    <w:rsid w:val="004D1D7B"/>
    <w:rsid w:val="004D2A43"/>
    <w:rsid w:val="004D2E81"/>
    <w:rsid w:val="004E390E"/>
    <w:rsid w:val="004F0B1B"/>
    <w:rsid w:val="004F3109"/>
    <w:rsid w:val="004F4EF6"/>
    <w:rsid w:val="004F61E6"/>
    <w:rsid w:val="004F7250"/>
    <w:rsid w:val="0050092D"/>
    <w:rsid w:val="005009F1"/>
    <w:rsid w:val="0050274D"/>
    <w:rsid w:val="00513324"/>
    <w:rsid w:val="00542827"/>
    <w:rsid w:val="00542B9C"/>
    <w:rsid w:val="00561005"/>
    <w:rsid w:val="00570558"/>
    <w:rsid w:val="00571218"/>
    <w:rsid w:val="0058000B"/>
    <w:rsid w:val="00581416"/>
    <w:rsid w:val="00584C6B"/>
    <w:rsid w:val="005851F1"/>
    <w:rsid w:val="00586CE1"/>
    <w:rsid w:val="00586E67"/>
    <w:rsid w:val="00587C69"/>
    <w:rsid w:val="0059041B"/>
    <w:rsid w:val="00590D1C"/>
    <w:rsid w:val="00591D84"/>
    <w:rsid w:val="00592E85"/>
    <w:rsid w:val="00597950"/>
    <w:rsid w:val="005C0B02"/>
    <w:rsid w:val="005C2D30"/>
    <w:rsid w:val="005D54B7"/>
    <w:rsid w:val="005D5654"/>
    <w:rsid w:val="005D6A36"/>
    <w:rsid w:val="005E2BB0"/>
    <w:rsid w:val="005E6040"/>
    <w:rsid w:val="005E7C40"/>
    <w:rsid w:val="005F6B98"/>
    <w:rsid w:val="00603B25"/>
    <w:rsid w:val="00605A0A"/>
    <w:rsid w:val="00607BA5"/>
    <w:rsid w:val="00607F43"/>
    <w:rsid w:val="00613096"/>
    <w:rsid w:val="00614FBF"/>
    <w:rsid w:val="00624E39"/>
    <w:rsid w:val="00627D97"/>
    <w:rsid w:val="0065096B"/>
    <w:rsid w:val="00654528"/>
    <w:rsid w:val="00671049"/>
    <w:rsid w:val="00672EE5"/>
    <w:rsid w:val="00677AC7"/>
    <w:rsid w:val="00680BA0"/>
    <w:rsid w:val="00680F9D"/>
    <w:rsid w:val="00683E7B"/>
    <w:rsid w:val="006862DF"/>
    <w:rsid w:val="00686CDD"/>
    <w:rsid w:val="00687B34"/>
    <w:rsid w:val="006911A5"/>
    <w:rsid w:val="00693425"/>
    <w:rsid w:val="006A61BE"/>
    <w:rsid w:val="006A777D"/>
    <w:rsid w:val="006B2EA1"/>
    <w:rsid w:val="006B683C"/>
    <w:rsid w:val="006C0690"/>
    <w:rsid w:val="006C79D6"/>
    <w:rsid w:val="006D1121"/>
    <w:rsid w:val="006D156B"/>
    <w:rsid w:val="006D185E"/>
    <w:rsid w:val="006D1913"/>
    <w:rsid w:val="006D22FA"/>
    <w:rsid w:val="006D26B3"/>
    <w:rsid w:val="006D73A5"/>
    <w:rsid w:val="006E2B68"/>
    <w:rsid w:val="006E54FB"/>
    <w:rsid w:val="006F03E6"/>
    <w:rsid w:val="006F046A"/>
    <w:rsid w:val="006F7C23"/>
    <w:rsid w:val="00701B86"/>
    <w:rsid w:val="00706DA1"/>
    <w:rsid w:val="007131DB"/>
    <w:rsid w:val="00720049"/>
    <w:rsid w:val="00720C30"/>
    <w:rsid w:val="0073005A"/>
    <w:rsid w:val="00732ED1"/>
    <w:rsid w:val="007337DF"/>
    <w:rsid w:val="007434C3"/>
    <w:rsid w:val="0074350A"/>
    <w:rsid w:val="007435DE"/>
    <w:rsid w:val="00745009"/>
    <w:rsid w:val="0074516F"/>
    <w:rsid w:val="0074584B"/>
    <w:rsid w:val="00751D64"/>
    <w:rsid w:val="00753F12"/>
    <w:rsid w:val="007728EA"/>
    <w:rsid w:val="007773D9"/>
    <w:rsid w:val="00783907"/>
    <w:rsid w:val="00785844"/>
    <w:rsid w:val="007A5473"/>
    <w:rsid w:val="007B37EB"/>
    <w:rsid w:val="007C064C"/>
    <w:rsid w:val="007D2532"/>
    <w:rsid w:val="007E3135"/>
    <w:rsid w:val="007E5480"/>
    <w:rsid w:val="007E5E70"/>
    <w:rsid w:val="007E743A"/>
    <w:rsid w:val="007F4788"/>
    <w:rsid w:val="007F5428"/>
    <w:rsid w:val="007F6687"/>
    <w:rsid w:val="00802EDB"/>
    <w:rsid w:val="00804637"/>
    <w:rsid w:val="008118A0"/>
    <w:rsid w:val="00816CD4"/>
    <w:rsid w:val="008303AA"/>
    <w:rsid w:val="008346F4"/>
    <w:rsid w:val="0084126B"/>
    <w:rsid w:val="00846050"/>
    <w:rsid w:val="0085325E"/>
    <w:rsid w:val="00853DB6"/>
    <w:rsid w:val="008576BE"/>
    <w:rsid w:val="00865BC3"/>
    <w:rsid w:val="008718CE"/>
    <w:rsid w:val="00871DF8"/>
    <w:rsid w:val="00873C59"/>
    <w:rsid w:val="008743B1"/>
    <w:rsid w:val="0089122D"/>
    <w:rsid w:val="008979FA"/>
    <w:rsid w:val="008A5A15"/>
    <w:rsid w:val="008A6822"/>
    <w:rsid w:val="008A721D"/>
    <w:rsid w:val="008B13CD"/>
    <w:rsid w:val="008B2E8B"/>
    <w:rsid w:val="008B38A4"/>
    <w:rsid w:val="008B68FF"/>
    <w:rsid w:val="008C217B"/>
    <w:rsid w:val="008C237A"/>
    <w:rsid w:val="008C757D"/>
    <w:rsid w:val="008D63BD"/>
    <w:rsid w:val="008D77D7"/>
    <w:rsid w:val="008D7AD2"/>
    <w:rsid w:val="008D7C30"/>
    <w:rsid w:val="008E5D9D"/>
    <w:rsid w:val="008F4855"/>
    <w:rsid w:val="008F686C"/>
    <w:rsid w:val="009026F4"/>
    <w:rsid w:val="00903FE4"/>
    <w:rsid w:val="00905AF6"/>
    <w:rsid w:val="009060F1"/>
    <w:rsid w:val="00907CFE"/>
    <w:rsid w:val="00907E47"/>
    <w:rsid w:val="00915C23"/>
    <w:rsid w:val="0092328F"/>
    <w:rsid w:val="00925C67"/>
    <w:rsid w:val="00926604"/>
    <w:rsid w:val="00934A18"/>
    <w:rsid w:val="0098046E"/>
    <w:rsid w:val="009804A0"/>
    <w:rsid w:val="0098426F"/>
    <w:rsid w:val="00986F78"/>
    <w:rsid w:val="00992BED"/>
    <w:rsid w:val="009A75DF"/>
    <w:rsid w:val="009A7749"/>
    <w:rsid w:val="009B1B68"/>
    <w:rsid w:val="009B522A"/>
    <w:rsid w:val="009B582F"/>
    <w:rsid w:val="009C0E3A"/>
    <w:rsid w:val="009C2BA1"/>
    <w:rsid w:val="009C5556"/>
    <w:rsid w:val="009C6658"/>
    <w:rsid w:val="009C6F0B"/>
    <w:rsid w:val="009D0E91"/>
    <w:rsid w:val="009D32ED"/>
    <w:rsid w:val="009E0EB4"/>
    <w:rsid w:val="009E1E29"/>
    <w:rsid w:val="009E33F0"/>
    <w:rsid w:val="009E3BB9"/>
    <w:rsid w:val="009E5691"/>
    <w:rsid w:val="009F4056"/>
    <w:rsid w:val="00A0387E"/>
    <w:rsid w:val="00A12094"/>
    <w:rsid w:val="00A1496E"/>
    <w:rsid w:val="00A1587A"/>
    <w:rsid w:val="00A15906"/>
    <w:rsid w:val="00A15CDE"/>
    <w:rsid w:val="00A24B78"/>
    <w:rsid w:val="00A24C15"/>
    <w:rsid w:val="00A27C48"/>
    <w:rsid w:val="00A33E42"/>
    <w:rsid w:val="00A36A0D"/>
    <w:rsid w:val="00A37A88"/>
    <w:rsid w:val="00A45AA1"/>
    <w:rsid w:val="00A5210F"/>
    <w:rsid w:val="00A5432A"/>
    <w:rsid w:val="00A55036"/>
    <w:rsid w:val="00A557FD"/>
    <w:rsid w:val="00A57E60"/>
    <w:rsid w:val="00A637EA"/>
    <w:rsid w:val="00A65765"/>
    <w:rsid w:val="00A721FF"/>
    <w:rsid w:val="00A72402"/>
    <w:rsid w:val="00A80CAF"/>
    <w:rsid w:val="00A96858"/>
    <w:rsid w:val="00A96B57"/>
    <w:rsid w:val="00A97047"/>
    <w:rsid w:val="00AA47E3"/>
    <w:rsid w:val="00AB142F"/>
    <w:rsid w:val="00AB153E"/>
    <w:rsid w:val="00AB5B44"/>
    <w:rsid w:val="00AC30B7"/>
    <w:rsid w:val="00AD03FA"/>
    <w:rsid w:val="00AD0C65"/>
    <w:rsid w:val="00AD7EA3"/>
    <w:rsid w:val="00AF0F5E"/>
    <w:rsid w:val="00AF3574"/>
    <w:rsid w:val="00AF572A"/>
    <w:rsid w:val="00B002A5"/>
    <w:rsid w:val="00B047B5"/>
    <w:rsid w:val="00B06934"/>
    <w:rsid w:val="00B12529"/>
    <w:rsid w:val="00B14E54"/>
    <w:rsid w:val="00B17420"/>
    <w:rsid w:val="00B23FD5"/>
    <w:rsid w:val="00B248C9"/>
    <w:rsid w:val="00B3339D"/>
    <w:rsid w:val="00B33B0A"/>
    <w:rsid w:val="00B43287"/>
    <w:rsid w:val="00B43968"/>
    <w:rsid w:val="00B44CCB"/>
    <w:rsid w:val="00B4706E"/>
    <w:rsid w:val="00B732B6"/>
    <w:rsid w:val="00B7358C"/>
    <w:rsid w:val="00B7594E"/>
    <w:rsid w:val="00B75A70"/>
    <w:rsid w:val="00B80089"/>
    <w:rsid w:val="00B813F1"/>
    <w:rsid w:val="00B81E35"/>
    <w:rsid w:val="00B8786C"/>
    <w:rsid w:val="00B905AB"/>
    <w:rsid w:val="00B92809"/>
    <w:rsid w:val="00BA49E4"/>
    <w:rsid w:val="00BA676A"/>
    <w:rsid w:val="00BB39E7"/>
    <w:rsid w:val="00BC0F36"/>
    <w:rsid w:val="00BC16FE"/>
    <w:rsid w:val="00BC17C2"/>
    <w:rsid w:val="00BD2685"/>
    <w:rsid w:val="00BD50BD"/>
    <w:rsid w:val="00BE56BC"/>
    <w:rsid w:val="00BE70B5"/>
    <w:rsid w:val="00C01E80"/>
    <w:rsid w:val="00C04D66"/>
    <w:rsid w:val="00C065D2"/>
    <w:rsid w:val="00C10995"/>
    <w:rsid w:val="00C12A7F"/>
    <w:rsid w:val="00C2588B"/>
    <w:rsid w:val="00C25B06"/>
    <w:rsid w:val="00C321FE"/>
    <w:rsid w:val="00C33476"/>
    <w:rsid w:val="00C35A43"/>
    <w:rsid w:val="00C53B28"/>
    <w:rsid w:val="00C60C03"/>
    <w:rsid w:val="00C761BA"/>
    <w:rsid w:val="00C773CC"/>
    <w:rsid w:val="00C81366"/>
    <w:rsid w:val="00C81E30"/>
    <w:rsid w:val="00C8330A"/>
    <w:rsid w:val="00C8461C"/>
    <w:rsid w:val="00C92F73"/>
    <w:rsid w:val="00C93FDB"/>
    <w:rsid w:val="00C96E3E"/>
    <w:rsid w:val="00CA15A0"/>
    <w:rsid w:val="00CA57DA"/>
    <w:rsid w:val="00CA726E"/>
    <w:rsid w:val="00CA78BC"/>
    <w:rsid w:val="00CB24A0"/>
    <w:rsid w:val="00CB5B25"/>
    <w:rsid w:val="00CB6B50"/>
    <w:rsid w:val="00CB7CF4"/>
    <w:rsid w:val="00CD5318"/>
    <w:rsid w:val="00CE43E2"/>
    <w:rsid w:val="00CF1737"/>
    <w:rsid w:val="00CF3122"/>
    <w:rsid w:val="00CF4505"/>
    <w:rsid w:val="00CF4B77"/>
    <w:rsid w:val="00D00DDF"/>
    <w:rsid w:val="00D0307B"/>
    <w:rsid w:val="00D113A5"/>
    <w:rsid w:val="00D13B5C"/>
    <w:rsid w:val="00D21D51"/>
    <w:rsid w:val="00D25CDD"/>
    <w:rsid w:val="00D316D1"/>
    <w:rsid w:val="00D433FD"/>
    <w:rsid w:val="00D51207"/>
    <w:rsid w:val="00D516DE"/>
    <w:rsid w:val="00D51F3F"/>
    <w:rsid w:val="00D63167"/>
    <w:rsid w:val="00D74297"/>
    <w:rsid w:val="00D75D8B"/>
    <w:rsid w:val="00D80F43"/>
    <w:rsid w:val="00D971F5"/>
    <w:rsid w:val="00D977EF"/>
    <w:rsid w:val="00DA19CD"/>
    <w:rsid w:val="00DA2121"/>
    <w:rsid w:val="00DB0E3A"/>
    <w:rsid w:val="00DB4B31"/>
    <w:rsid w:val="00DC1B52"/>
    <w:rsid w:val="00DC2149"/>
    <w:rsid w:val="00DC4C7F"/>
    <w:rsid w:val="00DC66C1"/>
    <w:rsid w:val="00DD1343"/>
    <w:rsid w:val="00DD13F0"/>
    <w:rsid w:val="00DD2CF5"/>
    <w:rsid w:val="00DD4232"/>
    <w:rsid w:val="00DF306B"/>
    <w:rsid w:val="00E04541"/>
    <w:rsid w:val="00E048D0"/>
    <w:rsid w:val="00E0658F"/>
    <w:rsid w:val="00E07D14"/>
    <w:rsid w:val="00E1AE9A"/>
    <w:rsid w:val="00E309FF"/>
    <w:rsid w:val="00E30EC7"/>
    <w:rsid w:val="00E31344"/>
    <w:rsid w:val="00E31F47"/>
    <w:rsid w:val="00E41027"/>
    <w:rsid w:val="00E451BE"/>
    <w:rsid w:val="00E4700F"/>
    <w:rsid w:val="00E506C5"/>
    <w:rsid w:val="00E52494"/>
    <w:rsid w:val="00E52E63"/>
    <w:rsid w:val="00E530CD"/>
    <w:rsid w:val="00E564E9"/>
    <w:rsid w:val="00E60B54"/>
    <w:rsid w:val="00E63995"/>
    <w:rsid w:val="00E82129"/>
    <w:rsid w:val="00E8673F"/>
    <w:rsid w:val="00E87D99"/>
    <w:rsid w:val="00E949C0"/>
    <w:rsid w:val="00EA2C29"/>
    <w:rsid w:val="00EA4BF9"/>
    <w:rsid w:val="00EA7914"/>
    <w:rsid w:val="00EB2BEF"/>
    <w:rsid w:val="00EB5100"/>
    <w:rsid w:val="00EC643E"/>
    <w:rsid w:val="00EC770E"/>
    <w:rsid w:val="00ED6411"/>
    <w:rsid w:val="00EF03E8"/>
    <w:rsid w:val="00EF18D6"/>
    <w:rsid w:val="00EF29E6"/>
    <w:rsid w:val="00EF32E6"/>
    <w:rsid w:val="00EF54ED"/>
    <w:rsid w:val="00EF7196"/>
    <w:rsid w:val="00F026B5"/>
    <w:rsid w:val="00F0368C"/>
    <w:rsid w:val="00F070F9"/>
    <w:rsid w:val="00F077AB"/>
    <w:rsid w:val="00F10552"/>
    <w:rsid w:val="00F14795"/>
    <w:rsid w:val="00F17288"/>
    <w:rsid w:val="00F22473"/>
    <w:rsid w:val="00F22F2D"/>
    <w:rsid w:val="00F271B1"/>
    <w:rsid w:val="00F31553"/>
    <w:rsid w:val="00F33D2F"/>
    <w:rsid w:val="00F346E2"/>
    <w:rsid w:val="00F35972"/>
    <w:rsid w:val="00F35E44"/>
    <w:rsid w:val="00F37A24"/>
    <w:rsid w:val="00F53AB9"/>
    <w:rsid w:val="00F561C0"/>
    <w:rsid w:val="00F57E74"/>
    <w:rsid w:val="00F629E1"/>
    <w:rsid w:val="00F773DD"/>
    <w:rsid w:val="00F83737"/>
    <w:rsid w:val="00F84942"/>
    <w:rsid w:val="00F85DD9"/>
    <w:rsid w:val="00F875FC"/>
    <w:rsid w:val="00F87B80"/>
    <w:rsid w:val="00F938B8"/>
    <w:rsid w:val="00F96A4A"/>
    <w:rsid w:val="00FA27E0"/>
    <w:rsid w:val="00FB2B69"/>
    <w:rsid w:val="00FB4B96"/>
    <w:rsid w:val="00FC22F5"/>
    <w:rsid w:val="00FD210A"/>
    <w:rsid w:val="00FD74BE"/>
    <w:rsid w:val="00FE226A"/>
    <w:rsid w:val="00FF0228"/>
    <w:rsid w:val="00FF18C9"/>
    <w:rsid w:val="00FF770E"/>
    <w:rsid w:val="033B7300"/>
    <w:rsid w:val="0443B525"/>
    <w:rsid w:val="07636C27"/>
    <w:rsid w:val="08D818A4"/>
    <w:rsid w:val="09354BFA"/>
    <w:rsid w:val="0F079694"/>
    <w:rsid w:val="101E7900"/>
    <w:rsid w:val="12F10A0A"/>
    <w:rsid w:val="13118870"/>
    <w:rsid w:val="20B95173"/>
    <w:rsid w:val="2396DD2E"/>
    <w:rsid w:val="28EDB8BB"/>
    <w:rsid w:val="2A35EF3A"/>
    <w:rsid w:val="2E1265BD"/>
    <w:rsid w:val="2F806F4E"/>
    <w:rsid w:val="35CEA0B1"/>
    <w:rsid w:val="36B1B3AA"/>
    <w:rsid w:val="3B377BBF"/>
    <w:rsid w:val="3FB8E405"/>
    <w:rsid w:val="44EF69B3"/>
    <w:rsid w:val="51355615"/>
    <w:rsid w:val="542FAFA1"/>
    <w:rsid w:val="54E52F7B"/>
    <w:rsid w:val="5DC96025"/>
    <w:rsid w:val="5F99C7B4"/>
    <w:rsid w:val="651783CF"/>
    <w:rsid w:val="65E10295"/>
    <w:rsid w:val="6E2FDC79"/>
    <w:rsid w:val="745FD86D"/>
    <w:rsid w:val="78C6167E"/>
    <w:rsid w:val="7C778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5BE75"/>
  <w15:docId w15:val="{62D942E5-B2D1-4E68-9026-14A22BFB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121"/>
    <w:rPr>
      <w:color w:val="0000FF"/>
      <w:u w:val="single"/>
    </w:rPr>
  </w:style>
  <w:style w:type="paragraph" w:customStyle="1" w:styleId="xmsonormal">
    <w:name w:val="x_msonormal"/>
    <w:basedOn w:val="Normal"/>
    <w:rsid w:val="006D1121"/>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ListParagraph">
    <w:name w:val="List Paragraph"/>
    <w:basedOn w:val="Normal"/>
    <w:uiPriority w:val="34"/>
    <w:qFormat/>
    <w:rsid w:val="00753F12"/>
    <w:pPr>
      <w:ind w:left="720"/>
      <w:contextualSpacing/>
    </w:pPr>
  </w:style>
  <w:style w:type="character" w:styleId="CommentReference">
    <w:name w:val="annotation reference"/>
    <w:basedOn w:val="DefaultParagraphFont"/>
    <w:uiPriority w:val="99"/>
    <w:semiHidden/>
    <w:unhideWhenUsed/>
    <w:rsid w:val="007434C3"/>
    <w:rPr>
      <w:sz w:val="16"/>
      <w:szCs w:val="16"/>
    </w:rPr>
  </w:style>
  <w:style w:type="paragraph" w:styleId="CommentText">
    <w:name w:val="annotation text"/>
    <w:basedOn w:val="Normal"/>
    <w:link w:val="CommentTextChar"/>
    <w:uiPriority w:val="99"/>
    <w:semiHidden/>
    <w:unhideWhenUsed/>
    <w:rsid w:val="007434C3"/>
    <w:pPr>
      <w:spacing w:line="240" w:lineRule="auto"/>
    </w:pPr>
    <w:rPr>
      <w:sz w:val="20"/>
      <w:szCs w:val="20"/>
    </w:rPr>
  </w:style>
  <w:style w:type="character" w:customStyle="1" w:styleId="CommentTextChar">
    <w:name w:val="Comment Text Char"/>
    <w:basedOn w:val="DefaultParagraphFont"/>
    <w:link w:val="CommentText"/>
    <w:uiPriority w:val="99"/>
    <w:semiHidden/>
    <w:rsid w:val="007434C3"/>
    <w:rPr>
      <w:sz w:val="20"/>
      <w:szCs w:val="20"/>
    </w:rPr>
  </w:style>
  <w:style w:type="paragraph" w:styleId="CommentSubject">
    <w:name w:val="annotation subject"/>
    <w:basedOn w:val="CommentText"/>
    <w:next w:val="CommentText"/>
    <w:link w:val="CommentSubjectChar"/>
    <w:uiPriority w:val="99"/>
    <w:semiHidden/>
    <w:unhideWhenUsed/>
    <w:rsid w:val="007434C3"/>
    <w:rPr>
      <w:b/>
      <w:bCs/>
    </w:rPr>
  </w:style>
  <w:style w:type="character" w:customStyle="1" w:styleId="CommentSubjectChar">
    <w:name w:val="Comment Subject Char"/>
    <w:basedOn w:val="CommentTextChar"/>
    <w:link w:val="CommentSubject"/>
    <w:uiPriority w:val="99"/>
    <w:semiHidden/>
    <w:rsid w:val="007434C3"/>
    <w:rPr>
      <w:b/>
      <w:bCs/>
      <w:sz w:val="20"/>
      <w:szCs w:val="20"/>
    </w:rPr>
  </w:style>
  <w:style w:type="paragraph" w:styleId="BalloonText">
    <w:name w:val="Balloon Text"/>
    <w:basedOn w:val="Normal"/>
    <w:link w:val="BalloonTextChar"/>
    <w:uiPriority w:val="99"/>
    <w:semiHidden/>
    <w:unhideWhenUsed/>
    <w:rsid w:val="00743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C3"/>
    <w:rPr>
      <w:rFonts w:ascii="Segoe UI" w:hAnsi="Segoe UI" w:cs="Segoe UI"/>
      <w:sz w:val="18"/>
      <w:szCs w:val="18"/>
    </w:rPr>
  </w:style>
  <w:style w:type="paragraph" w:styleId="Header">
    <w:name w:val="header"/>
    <w:basedOn w:val="Normal"/>
    <w:link w:val="HeaderChar"/>
    <w:uiPriority w:val="99"/>
    <w:unhideWhenUsed/>
    <w:rsid w:val="00590D1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90D1C"/>
  </w:style>
  <w:style w:type="paragraph" w:styleId="Footer">
    <w:name w:val="footer"/>
    <w:basedOn w:val="Normal"/>
    <w:link w:val="FooterChar"/>
    <w:uiPriority w:val="99"/>
    <w:unhideWhenUsed/>
    <w:rsid w:val="00590D1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90D1C"/>
  </w:style>
  <w:style w:type="character" w:customStyle="1" w:styleId="normaltextrun">
    <w:name w:val="normaltextrun"/>
    <w:basedOn w:val="DefaultParagraphFont"/>
    <w:rsid w:val="002B2900"/>
  </w:style>
  <w:style w:type="paragraph" w:customStyle="1" w:styleId="paragraph">
    <w:name w:val="paragraph"/>
    <w:basedOn w:val="Normal"/>
    <w:rsid w:val="00915C23"/>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eop">
    <w:name w:val="eop"/>
    <w:basedOn w:val="DefaultParagraphFont"/>
    <w:rsid w:val="00915C23"/>
  </w:style>
  <w:style w:type="paragraph" w:styleId="Revision">
    <w:name w:val="Revision"/>
    <w:hidden/>
    <w:uiPriority w:val="99"/>
    <w:semiHidden/>
    <w:rsid w:val="00F938B8"/>
    <w:pPr>
      <w:spacing w:after="0" w:line="240" w:lineRule="auto"/>
    </w:pPr>
  </w:style>
  <w:style w:type="character" w:styleId="UnresolvedMention">
    <w:name w:val="Unresolved Mention"/>
    <w:basedOn w:val="DefaultParagraphFont"/>
    <w:uiPriority w:val="99"/>
    <w:semiHidden/>
    <w:unhideWhenUsed/>
    <w:rsid w:val="003A795E"/>
    <w:rPr>
      <w:color w:val="605E5C"/>
      <w:shd w:val="clear" w:color="auto" w:fill="E1DFDD"/>
    </w:rPr>
  </w:style>
  <w:style w:type="paragraph" w:styleId="HTMLPreformatted">
    <w:name w:val="HTML Preformatted"/>
    <w:basedOn w:val="Normal"/>
    <w:link w:val="HTMLPreformattedChar"/>
    <w:uiPriority w:val="99"/>
    <w:unhideWhenUsed/>
    <w:rsid w:val="00A4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A45AA1"/>
    <w:rPr>
      <w:rFonts w:ascii="Courier New" w:eastAsia="Times New Roman" w:hAnsi="Courier New" w:cs="Courier New"/>
      <w:sz w:val="20"/>
      <w:szCs w:val="20"/>
      <w:lang w:val="es-ES" w:eastAsia="es-ES"/>
    </w:rPr>
  </w:style>
  <w:style w:type="paragraph" w:styleId="NormalWeb">
    <w:name w:val="Normal (Web)"/>
    <w:basedOn w:val="Normal"/>
    <w:uiPriority w:val="99"/>
    <w:semiHidden/>
    <w:unhideWhenUsed/>
    <w:rsid w:val="00044988"/>
    <w:pPr>
      <w:spacing w:before="100" w:beforeAutospacing="1" w:after="100" w:afterAutospacing="1" w:line="240" w:lineRule="auto"/>
    </w:pPr>
    <w:rPr>
      <w:rFonts w:ascii="Times New Roman" w:eastAsia="Times New Roman" w:hAnsi="Times New Roman" w:cs="Times New Roman"/>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60561">
      <w:bodyDiv w:val="1"/>
      <w:marLeft w:val="0"/>
      <w:marRight w:val="0"/>
      <w:marTop w:val="0"/>
      <w:marBottom w:val="0"/>
      <w:divBdr>
        <w:top w:val="none" w:sz="0" w:space="0" w:color="auto"/>
        <w:left w:val="none" w:sz="0" w:space="0" w:color="auto"/>
        <w:bottom w:val="none" w:sz="0" w:space="0" w:color="auto"/>
        <w:right w:val="none" w:sz="0" w:space="0" w:color="auto"/>
      </w:divBdr>
    </w:div>
    <w:div w:id="820853367">
      <w:bodyDiv w:val="1"/>
      <w:marLeft w:val="0"/>
      <w:marRight w:val="0"/>
      <w:marTop w:val="0"/>
      <w:marBottom w:val="0"/>
      <w:divBdr>
        <w:top w:val="none" w:sz="0" w:space="0" w:color="auto"/>
        <w:left w:val="none" w:sz="0" w:space="0" w:color="auto"/>
        <w:bottom w:val="none" w:sz="0" w:space="0" w:color="auto"/>
        <w:right w:val="none" w:sz="0" w:space="0" w:color="auto"/>
      </w:divBdr>
    </w:div>
    <w:div w:id="1509903619">
      <w:bodyDiv w:val="1"/>
      <w:marLeft w:val="0"/>
      <w:marRight w:val="0"/>
      <w:marTop w:val="0"/>
      <w:marBottom w:val="0"/>
      <w:divBdr>
        <w:top w:val="none" w:sz="0" w:space="0" w:color="auto"/>
        <w:left w:val="none" w:sz="0" w:space="0" w:color="auto"/>
        <w:bottom w:val="none" w:sz="0" w:space="0" w:color="auto"/>
        <w:right w:val="none" w:sz="0" w:space="0" w:color="auto"/>
      </w:divBdr>
    </w:div>
    <w:div w:id="1526601412">
      <w:bodyDiv w:val="1"/>
      <w:marLeft w:val="0"/>
      <w:marRight w:val="0"/>
      <w:marTop w:val="0"/>
      <w:marBottom w:val="0"/>
      <w:divBdr>
        <w:top w:val="none" w:sz="0" w:space="0" w:color="auto"/>
        <w:left w:val="none" w:sz="0" w:space="0" w:color="auto"/>
        <w:bottom w:val="none" w:sz="0" w:space="0" w:color="auto"/>
        <w:right w:val="none" w:sz="0" w:space="0" w:color="auto"/>
      </w:divBdr>
    </w:div>
    <w:div w:id="1923640359">
      <w:bodyDiv w:val="1"/>
      <w:marLeft w:val="0"/>
      <w:marRight w:val="0"/>
      <w:marTop w:val="0"/>
      <w:marBottom w:val="0"/>
      <w:divBdr>
        <w:top w:val="none" w:sz="0" w:space="0" w:color="auto"/>
        <w:left w:val="none" w:sz="0" w:space="0" w:color="auto"/>
        <w:bottom w:val="none" w:sz="0" w:space="0" w:color="auto"/>
        <w:right w:val="none" w:sz="0" w:space="0" w:color="auto"/>
      </w:divBdr>
      <w:divsChild>
        <w:div w:id="1377463146">
          <w:marLeft w:val="0"/>
          <w:marRight w:val="0"/>
          <w:marTop w:val="0"/>
          <w:marBottom w:val="0"/>
          <w:divBdr>
            <w:top w:val="none" w:sz="0" w:space="0" w:color="auto"/>
            <w:left w:val="none" w:sz="0" w:space="0" w:color="auto"/>
            <w:bottom w:val="none" w:sz="0" w:space="0" w:color="auto"/>
            <w:right w:val="none" w:sz="0" w:space="0" w:color="auto"/>
          </w:divBdr>
        </w:div>
        <w:div w:id="2076202907">
          <w:marLeft w:val="0"/>
          <w:marRight w:val="0"/>
          <w:marTop w:val="0"/>
          <w:marBottom w:val="0"/>
          <w:divBdr>
            <w:top w:val="none" w:sz="0" w:space="0" w:color="auto"/>
            <w:left w:val="none" w:sz="0" w:space="0" w:color="auto"/>
            <w:bottom w:val="none" w:sz="0" w:space="0" w:color="auto"/>
            <w:right w:val="none" w:sz="0" w:space="0" w:color="auto"/>
          </w:divBdr>
        </w:div>
      </w:divsChild>
    </w:div>
    <w:div w:id="19862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RZ7Bx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sabel.martell@enel.com" TargetMode="External"/><Relationship Id="rId2" Type="http://schemas.openxmlformats.org/officeDocument/2006/relationships/hyperlink" Target="mailto:henry.canales@enel.com" TargetMode="External"/><Relationship Id="rId1" Type="http://schemas.openxmlformats.org/officeDocument/2006/relationships/image" Target="media/image3.png"/><Relationship Id="rId4" Type="http://schemas.openxmlformats.org/officeDocument/2006/relationships/hyperlink" Target="http://www.twitter.com/enelp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_x00e1_tica xmlns="20057635-8ee9-40b7-9189-db15ddbdb0bf"/>
    <A_x00f1_o xmlns="20057635-8ee9-40b7-9189-db15ddbdb0bf">2021</A_x00f1_o>
    <MediaLengthInSeconds xmlns="20057635-8ee9-40b7-9189-db15ddbdb0bf" xsi:nil="true"/>
    <SharedWithUsers xmlns="c642acba-88e0-43a8-a625-93a8cd3fde33">
      <UserInfo>
        <DisplayName/>
        <AccountId xsi:nil="true"/>
        <AccountType/>
      </UserInfo>
    </SharedWithUsers>
    <lcf76f155ced4ddcb4097134ff3c332f xmlns="20057635-8ee9-40b7-9189-db15ddbdb0bf">
      <Terms xmlns="http://schemas.microsoft.com/office/infopath/2007/PartnerControls"/>
    </lcf76f155ced4ddcb4097134ff3c332f>
    <TaxCatchAll xmlns="c642acba-88e0-43a8-a625-93a8cd3fde3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AEFDB2D270E824590C1AC869B225FAD" ma:contentTypeVersion="18" ma:contentTypeDescription="Crear nuevo documento." ma:contentTypeScope="" ma:versionID="a9b3a83fc6683809da9b0f394221dff2">
  <xsd:schema xmlns:xsd="http://www.w3.org/2001/XMLSchema" xmlns:xs="http://www.w3.org/2001/XMLSchema" xmlns:p="http://schemas.microsoft.com/office/2006/metadata/properties" xmlns:ns2="20057635-8ee9-40b7-9189-db15ddbdb0bf" xmlns:ns3="c642acba-88e0-43a8-a625-93a8cd3fde33" targetNamespace="http://schemas.microsoft.com/office/2006/metadata/properties" ma:root="true" ma:fieldsID="b01c49f6fda2ea87b48d0283050eba5b" ns2:_="" ns3:_="">
    <xsd:import namespace="20057635-8ee9-40b7-9189-db15ddbdb0bf"/>
    <xsd:import namespace="c642acba-88e0-43a8-a625-93a8cd3fd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Tem_x00e1_tica"/>
                <xsd:element ref="ns2:A_x00f1_o"/>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57635-8ee9-40b7-9189-db15ddbdb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Tem_x00e1_tica" ma:index="17" ma:displayName="Temática" ma:description="Indicar temática primaria del documento" ma:format="Dropdown" ma:indexed="true" ma:internalName="Tem_x00e1_tica">
      <xsd:simpleType>
        <xsd:restriction base="dms:Choice">
          <xsd:enumeration value="Movilidad eléctrica"/>
          <xsd:enumeration value="Eficiencia energética"/>
          <xsd:enumeration value="Renovables"/>
          <xsd:enumeration value="Servicio a cliente"/>
          <xsd:enumeration value="Sostenibilidad"/>
          <xsd:enumeration value="Diversidad e Inclusión"/>
          <xsd:enumeration value="Finanzas"/>
          <xsd:enumeration value="Crisis/emergencias"/>
          <xsd:enumeration value="Regulación"/>
          <xsd:enumeration value="Budget"/>
          <xsd:enumeration value="Planning"/>
          <xsd:enumeration value="COVID-19"/>
        </xsd:restriction>
      </xsd:simpleType>
    </xsd:element>
    <xsd:element name="A_x00f1_o" ma:index="18" ma:displayName="Año" ma:default="2021" ma:description="Indicar año de actualización del documento" ma:format="Dropdown" ma:indexed="true" ma:internalName="A_x00f1_o">
      <xsd:simpleType>
        <xsd:restriction base="dms:Choice">
          <xsd:enumeration value="2021"/>
          <xsd:enumeration value="2020"/>
          <xsd:enumeration value="2019"/>
          <xsd:enumeration value="2018"/>
          <xsd:enumeration value="2017"/>
          <xsd:enumeration value="2016"/>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2acba-88e0-43a8-a625-93a8cd3fde3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7958c670-8b84-4663-8451-f4b99fba6058}" ma:internalName="TaxCatchAll" ma:showField="CatchAllData" ma:web="c642acba-88e0-43a8-a625-93a8cd3fd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47691-C907-4C0F-86D3-176BAFECEC58}">
  <ds:schemaRefs>
    <ds:schemaRef ds:uri="http://schemas.microsoft.com/office/2006/metadata/properties"/>
    <ds:schemaRef ds:uri="http://schemas.microsoft.com/office/infopath/2007/PartnerControls"/>
    <ds:schemaRef ds:uri="20057635-8ee9-40b7-9189-db15ddbdb0bf"/>
    <ds:schemaRef ds:uri="c642acba-88e0-43a8-a625-93a8cd3fde33"/>
  </ds:schemaRefs>
</ds:datastoreItem>
</file>

<file path=customXml/itemProps2.xml><?xml version="1.0" encoding="utf-8"?>
<ds:datastoreItem xmlns:ds="http://schemas.openxmlformats.org/officeDocument/2006/customXml" ds:itemID="{2BD12305-46B2-4C99-90AA-E44C6728886E}">
  <ds:schemaRefs>
    <ds:schemaRef ds:uri="http://schemas.openxmlformats.org/officeDocument/2006/bibliography"/>
  </ds:schemaRefs>
</ds:datastoreItem>
</file>

<file path=customXml/itemProps3.xml><?xml version="1.0" encoding="utf-8"?>
<ds:datastoreItem xmlns:ds="http://schemas.openxmlformats.org/officeDocument/2006/customXml" ds:itemID="{9D9C2BAF-C477-4615-B046-AED9DEA3B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57635-8ee9-40b7-9189-db15ddbdb0bf"/>
    <ds:schemaRef ds:uri="c642acba-88e0-43a8-a625-93a8cd3fd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FC609-6624-40CF-8EBB-552D86705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590</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Germán Montes</dc:creator>
  <cp:lastModifiedBy>Santiago Bolívar</cp:lastModifiedBy>
  <cp:revision>14</cp:revision>
  <cp:lastPrinted>2019-10-14T20:06:00Z</cp:lastPrinted>
  <dcterms:created xsi:type="dcterms:W3CDTF">2022-09-12T15:03:00Z</dcterms:created>
  <dcterms:modified xsi:type="dcterms:W3CDTF">2022-09-13T18:26:00Z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0x0101006AEFDB2D270E824590C1AC869B225FAD</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SIP_Label_b284f6bf-f638-41cc-935f-2157ddac8142_Enabled">
    <vt:lpwstr>true</vt:lpwstr>
  </property>
  <property fmtid="{D5CDD505-2E9C-101B-9397-08002B2CF9AE}" pid="12" name="MSIP_Label_b284f6bf-f638-41cc-935f-2157ddac8142_SetDate">
    <vt:lpwstr>2022-07-15T15:13:22Z</vt:lpwstr>
  </property>
  <property fmtid="{D5CDD505-2E9C-101B-9397-08002B2CF9AE}" pid="13" name="MSIP_Label_b284f6bf-f638-41cc-935f-2157ddac8142_Method">
    <vt:lpwstr>Privileged</vt:lpwstr>
  </property>
  <property fmtid="{D5CDD505-2E9C-101B-9397-08002B2CF9AE}" pid="14" name="MSIP_Label_b284f6bf-f638-41cc-935f-2157ddac8142_Name">
    <vt:lpwstr>b284f6bf-f638-41cc-935f-2157ddac8142</vt:lpwstr>
  </property>
  <property fmtid="{D5CDD505-2E9C-101B-9397-08002B2CF9AE}" pid="15" name="MSIP_Label_b284f6bf-f638-41cc-935f-2157ddac8142_SiteId">
    <vt:lpwstr>d539d4bf-5610-471a-afc2-1c76685cfefa</vt:lpwstr>
  </property>
  <property fmtid="{D5CDD505-2E9C-101B-9397-08002B2CF9AE}" pid="16" name="MSIP_Label_b284f6bf-f638-41cc-935f-2157ddac8142_ContentBits">
    <vt:lpwstr>0</vt:lpwstr>
  </property>
  <property fmtid="{D5CDD505-2E9C-101B-9397-08002B2CF9AE}" pid="17" name="MediaServiceImageTags">
    <vt:lpwstr/>
  </property>
</Properties>
</file>